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43" w:rsidRPr="00C06F1B" w:rsidRDefault="00B32543" w:rsidP="00B32543">
      <w:pPr>
        <w:shd w:val="clear" w:color="auto" w:fill="FFFFFF"/>
        <w:spacing w:before="150" w:after="255" w:line="480" w:lineRule="atLeast"/>
        <w:outlineLvl w:val="0"/>
        <w:rPr>
          <w:rFonts w:ascii="Bookman Old Style" w:eastAsia="Times New Roman" w:hAnsi="Bookman Old Style" w:cs="Arial"/>
          <w:b/>
          <w:bCs/>
          <w:color w:val="4D4D4D"/>
          <w:kern w:val="36"/>
          <w:sz w:val="48"/>
          <w:szCs w:val="45"/>
          <w:lang w:eastAsia="ru-RU"/>
        </w:rPr>
      </w:pPr>
      <w:r w:rsidRPr="00C06F1B">
        <w:rPr>
          <w:rFonts w:ascii="Bookman Old Style" w:eastAsia="Times New Roman" w:hAnsi="Bookman Old Style" w:cs="Arial"/>
          <w:b/>
          <w:bCs/>
          <w:color w:val="C82613"/>
          <w:kern w:val="36"/>
          <w:sz w:val="28"/>
          <w:szCs w:val="24"/>
          <w:lang w:eastAsia="ru-RU"/>
        </w:rPr>
        <w:t>7 основных изменений в жилищном законодательстве с 1 марта 2023 года</w:t>
      </w:r>
    </w:p>
    <w:p w:rsidR="00B32543" w:rsidRPr="00C06F1B" w:rsidRDefault="00B32543" w:rsidP="00B32543">
      <w:pPr>
        <w:shd w:val="clear" w:color="auto" w:fill="FFFFFF"/>
        <w:spacing w:after="180" w:line="240" w:lineRule="auto"/>
        <w:rPr>
          <w:rFonts w:ascii="Bookman Old Style" w:eastAsia="Times New Roman" w:hAnsi="Bookman Old Style" w:cs="Arial"/>
          <w:color w:val="333333"/>
          <w:szCs w:val="21"/>
          <w:lang w:eastAsia="ru-RU"/>
        </w:rPr>
      </w:pPr>
      <w:r w:rsidRPr="00C06F1B">
        <w:rPr>
          <w:rFonts w:ascii="Bookman Old Style" w:eastAsia="Times New Roman" w:hAnsi="Bookman Old Style" w:cs="Arial"/>
          <w:color w:val="333333"/>
          <w:szCs w:val="21"/>
          <w:lang w:eastAsia="ru-RU"/>
        </w:rPr>
        <w:t> </w:t>
      </w:r>
    </w:p>
    <w:p w:rsidR="00B32543" w:rsidRPr="00C06F1B" w:rsidRDefault="00B32543" w:rsidP="00B32543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</w:pPr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С 1 марта 2023 года изменятся некоторые нормы жилищного законодательства. На что обратить внимание?</w:t>
      </w:r>
    </w:p>
    <w:p w:rsidR="00B32543" w:rsidRPr="00C06F1B" w:rsidRDefault="00B32543" w:rsidP="00B32543">
      <w:pPr>
        <w:shd w:val="clear" w:color="auto" w:fill="0060AE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FFFFFF"/>
          <w:szCs w:val="21"/>
          <w:lang w:eastAsia="ru-RU"/>
        </w:rPr>
      </w:pPr>
      <w:r w:rsidRPr="00C06F1B">
        <w:rPr>
          <w:rFonts w:ascii="Bookman Old Style" w:eastAsia="Times New Roman" w:hAnsi="Bookman Old Style" w:cs="Arial"/>
          <w:b/>
          <w:bCs/>
          <w:color w:val="FFFFFF"/>
          <w:szCs w:val="21"/>
          <w:lang w:eastAsia="ru-RU"/>
        </w:rPr>
        <w:t>1</w:t>
      </w:r>
    </w:p>
    <w:p w:rsidR="00B32543" w:rsidRPr="00C06F1B" w:rsidRDefault="00B32543" w:rsidP="00B32543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</w:pPr>
      <w:r w:rsidRPr="00C06F1B">
        <w:rPr>
          <w:rFonts w:ascii="Bookman Old Style" w:eastAsia="Times New Roman" w:hAnsi="Bookman Old Style" w:cs="Arial"/>
          <w:b/>
          <w:bCs/>
          <w:color w:val="333333"/>
          <w:sz w:val="24"/>
          <w:lang w:eastAsia="ru-RU"/>
        </w:rPr>
        <w:t>Заработает "</w:t>
      </w:r>
      <w:proofErr w:type="spellStart"/>
      <w:r w:rsidRPr="00C06F1B">
        <w:rPr>
          <w:rFonts w:ascii="Bookman Old Style" w:eastAsia="Times New Roman" w:hAnsi="Bookman Old Style" w:cs="Arial"/>
          <w:b/>
          <w:bCs/>
          <w:color w:val="333333"/>
          <w:sz w:val="24"/>
          <w:lang w:eastAsia="ru-RU"/>
        </w:rPr>
        <w:t>лифтнадзор</w:t>
      </w:r>
      <w:proofErr w:type="spellEnd"/>
      <w:r w:rsidRPr="00C06F1B">
        <w:rPr>
          <w:rFonts w:ascii="Bookman Old Style" w:eastAsia="Times New Roman" w:hAnsi="Bookman Old Style" w:cs="Arial"/>
          <w:b/>
          <w:bCs/>
          <w:color w:val="333333"/>
          <w:sz w:val="24"/>
          <w:lang w:eastAsia="ru-RU"/>
        </w:rPr>
        <w:t>"</w:t>
      </w:r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 – федеральный государственный контроль (надзор) в области безопасного использования и содержания опасных технических устрой</w:t>
      </w:r>
      <w:proofErr w:type="gramStart"/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ств зд</w:t>
      </w:r>
      <w:proofErr w:type="gramEnd"/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аний и сооружений, к которым, в том числе, относятся лифты и подъемные платформы для инвалидов. Надзирающий орган – </w:t>
      </w:r>
      <w:proofErr w:type="spellStart"/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fldChar w:fldCharType="begin"/>
      </w:r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instrText xml:space="preserve"> HYPERLINK "https://base.garant.ru/71707662/" \l "block_10053" \t "_blank" </w:instrText>
      </w:r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fldChar w:fldCharType="separate"/>
      </w:r>
      <w:r w:rsidRPr="00C06F1B">
        <w:rPr>
          <w:rFonts w:ascii="Bookman Old Style" w:eastAsia="Times New Roman" w:hAnsi="Bookman Old Style" w:cs="Arial"/>
          <w:color w:val="808080"/>
          <w:sz w:val="24"/>
          <w:u w:val="single"/>
          <w:lang w:eastAsia="ru-RU"/>
        </w:rPr>
        <w:t>Ростехнадзор</w:t>
      </w:r>
      <w:proofErr w:type="spellEnd"/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fldChar w:fldCharType="end"/>
      </w:r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. Соответствующие </w:t>
      </w:r>
      <w:hyperlink r:id="rId5" w:tgtFrame="_blank" w:history="1">
        <w:r w:rsidRPr="00C06F1B">
          <w:rPr>
            <w:rFonts w:ascii="Bookman Old Style" w:eastAsia="Times New Roman" w:hAnsi="Bookman Old Style" w:cs="Arial"/>
            <w:color w:val="808080"/>
            <w:sz w:val="24"/>
            <w:u w:val="single"/>
            <w:lang w:eastAsia="ru-RU"/>
          </w:rPr>
          <w:t>поправки</w:t>
        </w:r>
      </w:hyperlink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 внесены в </w:t>
      </w:r>
      <w:hyperlink r:id="rId6" w:tgtFrame="_blank" w:history="1">
        <w:r w:rsidRPr="00C06F1B">
          <w:rPr>
            <w:rFonts w:ascii="Bookman Old Style" w:eastAsia="Times New Roman" w:hAnsi="Bookman Old Style" w:cs="Arial"/>
            <w:color w:val="808080"/>
            <w:sz w:val="24"/>
            <w:u w:val="single"/>
            <w:lang w:eastAsia="ru-RU"/>
          </w:rPr>
          <w:t>Федеральный закон от 11 июля 2021 г. № 170-ФЗ</w:t>
        </w:r>
      </w:hyperlink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 (подробнее см. </w:t>
      </w:r>
      <w:hyperlink r:id="rId7" w:tgtFrame="_blank" w:history="1">
        <w:r w:rsidRPr="00C06F1B">
          <w:rPr>
            <w:rFonts w:ascii="Bookman Old Style" w:eastAsia="Times New Roman" w:hAnsi="Bookman Old Style" w:cs="Arial"/>
            <w:color w:val="808080"/>
            <w:sz w:val="24"/>
            <w:u w:val="single"/>
            <w:lang w:eastAsia="ru-RU"/>
          </w:rPr>
          <w:t>здесь</w:t>
        </w:r>
      </w:hyperlink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).</w:t>
      </w:r>
    </w:p>
    <w:p w:rsidR="00B32543" w:rsidRPr="00C06F1B" w:rsidRDefault="00B32543" w:rsidP="00B32543">
      <w:pPr>
        <w:shd w:val="clear" w:color="auto" w:fill="0060AE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FFFFFF"/>
          <w:szCs w:val="21"/>
          <w:lang w:eastAsia="ru-RU"/>
        </w:rPr>
      </w:pPr>
      <w:r w:rsidRPr="00C06F1B">
        <w:rPr>
          <w:rFonts w:ascii="Bookman Old Style" w:eastAsia="Times New Roman" w:hAnsi="Bookman Old Style" w:cs="Arial"/>
          <w:b/>
          <w:bCs/>
          <w:color w:val="FFFFFF"/>
          <w:szCs w:val="21"/>
          <w:lang w:eastAsia="ru-RU"/>
        </w:rPr>
        <w:t>2</w:t>
      </w:r>
    </w:p>
    <w:p w:rsidR="00B32543" w:rsidRPr="00C06F1B" w:rsidRDefault="00B32543" w:rsidP="00B32543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</w:pPr>
      <w:r w:rsidRPr="00C06F1B">
        <w:rPr>
          <w:rFonts w:ascii="Bookman Old Style" w:eastAsia="Times New Roman" w:hAnsi="Bookman Old Style" w:cs="Arial"/>
          <w:b/>
          <w:bCs/>
          <w:color w:val="333333"/>
          <w:sz w:val="24"/>
          <w:lang w:eastAsia="ru-RU"/>
        </w:rPr>
        <w:t>Будет производиться перерасчет платы за услугу по обращению с ТКО в случае временного отсутствия потребителя более 5 дней подряд</w:t>
      </w:r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 для ситуаций, когда норматив накопления ТКО установлен исходя из метража помещения. Перерасчет производится </w:t>
      </w:r>
      <w:hyperlink r:id="rId8" w:anchor="block_40002" w:tgtFrame="_blank" w:history="1">
        <w:r w:rsidRPr="00C06F1B">
          <w:rPr>
            <w:rFonts w:ascii="Bookman Old Style" w:eastAsia="Times New Roman" w:hAnsi="Bookman Old Style" w:cs="Arial"/>
            <w:color w:val="808080"/>
            <w:sz w:val="24"/>
            <w:u w:val="single"/>
            <w:lang w:eastAsia="ru-RU"/>
          </w:rPr>
          <w:t>пропорционально</w:t>
        </w:r>
      </w:hyperlink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 количеству "отсутствующих" дней исходя из площади квартиры на основании нормативов накопления и с учетом данных о количестве проживающих в квартире. Правила расчета и соответствующие формулы установлены </w:t>
      </w:r>
      <w:hyperlink r:id="rId9" w:anchor="block_40000" w:tgtFrame="_blank" w:history="1">
        <w:r w:rsidRPr="00C06F1B">
          <w:rPr>
            <w:rFonts w:ascii="Bookman Old Style" w:eastAsia="Times New Roman" w:hAnsi="Bookman Old Style" w:cs="Arial"/>
            <w:color w:val="808080"/>
            <w:sz w:val="24"/>
            <w:u w:val="single"/>
            <w:lang w:eastAsia="ru-RU"/>
          </w:rPr>
          <w:t>Приложением</w:t>
        </w:r>
      </w:hyperlink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 № 4 к Правилам № 354.</w:t>
      </w:r>
    </w:p>
    <w:p w:rsidR="00B32543" w:rsidRPr="00C06F1B" w:rsidRDefault="00B32543" w:rsidP="00B32543">
      <w:pPr>
        <w:shd w:val="clear" w:color="auto" w:fill="0060AE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FFFFFF"/>
          <w:szCs w:val="21"/>
          <w:lang w:eastAsia="ru-RU"/>
        </w:rPr>
      </w:pPr>
      <w:r w:rsidRPr="00C06F1B">
        <w:rPr>
          <w:rFonts w:ascii="Bookman Old Style" w:eastAsia="Times New Roman" w:hAnsi="Bookman Old Style" w:cs="Arial"/>
          <w:b/>
          <w:bCs/>
          <w:color w:val="FFFFFF"/>
          <w:szCs w:val="21"/>
          <w:lang w:eastAsia="ru-RU"/>
        </w:rPr>
        <w:t>3</w:t>
      </w:r>
    </w:p>
    <w:p w:rsidR="00B32543" w:rsidRPr="00C06F1B" w:rsidRDefault="00B32543" w:rsidP="00B32543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</w:pPr>
      <w:r w:rsidRPr="00C06F1B">
        <w:rPr>
          <w:rFonts w:ascii="Bookman Old Style" w:eastAsia="Times New Roman" w:hAnsi="Bookman Old Style" w:cs="Arial"/>
          <w:color w:val="C82613"/>
          <w:sz w:val="24"/>
          <w:szCs w:val="23"/>
          <w:lang w:eastAsia="ru-RU"/>
        </w:rPr>
        <w:t>Будет скорректирована процедура подписания акта приемки работ по капитальному ремонту общего имущества в МКД, которые формируют ФКР на счете регионального оператора:</w:t>
      </w:r>
    </w:p>
    <w:p w:rsidR="00B32543" w:rsidRPr="00C06F1B" w:rsidRDefault="00B32543" w:rsidP="00B32543">
      <w:pPr>
        <w:numPr>
          <w:ilvl w:val="0"/>
          <w:numId w:val="1"/>
        </w:numPr>
        <w:shd w:val="clear" w:color="auto" w:fill="FFFFFF"/>
        <w:spacing w:after="0" w:line="270" w:lineRule="atLeast"/>
        <w:ind w:left="945"/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</w:pPr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он будет </w:t>
      </w:r>
      <w:r w:rsidRPr="00C06F1B">
        <w:rPr>
          <w:rFonts w:ascii="Bookman Old Style" w:eastAsia="Times New Roman" w:hAnsi="Bookman Old Style" w:cs="Arial"/>
          <w:b/>
          <w:bCs/>
          <w:color w:val="333333"/>
          <w:sz w:val="24"/>
          <w:lang w:eastAsia="ru-RU"/>
        </w:rPr>
        <w:t>не просто согласовываться, но и подписываться</w:t>
      </w:r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 ОМСУ и </w:t>
      </w:r>
      <w:r w:rsidRPr="00C06F1B">
        <w:rPr>
          <w:rFonts w:ascii="Bookman Old Style" w:eastAsia="Times New Roman" w:hAnsi="Bookman Old Style" w:cs="Arial"/>
          <w:b/>
          <w:bCs/>
          <w:color w:val="333333"/>
          <w:sz w:val="24"/>
          <w:lang w:eastAsia="ru-RU"/>
        </w:rPr>
        <w:t>тем лицом, которое по решению ОСС уполномочено действовать от имени собственников помещений в МКД;</w:t>
      </w:r>
    </w:p>
    <w:p w:rsidR="00B32543" w:rsidRPr="00C06F1B" w:rsidRDefault="00B32543" w:rsidP="00B32543">
      <w:pPr>
        <w:numPr>
          <w:ilvl w:val="0"/>
          <w:numId w:val="1"/>
        </w:numPr>
        <w:shd w:val="clear" w:color="auto" w:fill="FFFFFF"/>
        <w:spacing w:before="60" w:after="0" w:line="270" w:lineRule="atLeast"/>
        <w:ind w:left="945"/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</w:pPr>
      <w:r w:rsidRPr="00C06F1B">
        <w:rPr>
          <w:rFonts w:ascii="Bookman Old Style" w:eastAsia="Times New Roman" w:hAnsi="Bookman Old Style" w:cs="Arial"/>
          <w:b/>
          <w:bCs/>
          <w:color w:val="333333"/>
          <w:sz w:val="24"/>
          <w:lang w:eastAsia="ru-RU"/>
        </w:rPr>
        <w:t>порядок и сроки подписания этого акта приемки, а также порядок взаимодействия участников подписания такого акта,</w:t>
      </w:r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 в том числе с комиссией, осуществляющей приемку оказанных услуг и (или) выполненных работ,</w:t>
      </w:r>
      <w:r w:rsidRPr="00C06F1B">
        <w:rPr>
          <w:rFonts w:ascii="Bookman Old Style" w:eastAsia="Times New Roman" w:hAnsi="Bookman Old Style" w:cs="Arial"/>
          <w:color w:val="C82613"/>
          <w:sz w:val="24"/>
          <w:szCs w:val="23"/>
          <w:lang w:eastAsia="ru-RU"/>
        </w:rPr>
        <w:t> будет устанавливать регион</w:t>
      </w:r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 (</w:t>
      </w:r>
      <w:hyperlink r:id="rId10" w:anchor="block_1902" w:tgtFrame="_blank" w:history="1">
        <w:r w:rsidRPr="00C06F1B">
          <w:rPr>
            <w:rFonts w:ascii="Bookman Old Style" w:eastAsia="Times New Roman" w:hAnsi="Bookman Old Style" w:cs="Arial"/>
            <w:color w:val="808080"/>
            <w:sz w:val="24"/>
            <w:u w:val="single"/>
            <w:lang w:eastAsia="ru-RU"/>
          </w:rPr>
          <w:t xml:space="preserve">новая редакция </w:t>
        </w:r>
        <w:proofErr w:type="gramStart"/>
        <w:r w:rsidRPr="00C06F1B">
          <w:rPr>
            <w:rFonts w:ascii="Bookman Old Style" w:eastAsia="Times New Roman" w:hAnsi="Bookman Old Style" w:cs="Arial"/>
            <w:color w:val="808080"/>
            <w:sz w:val="24"/>
            <w:u w:val="single"/>
            <w:lang w:eastAsia="ru-RU"/>
          </w:rPr>
          <w:t>ч</w:t>
        </w:r>
        <w:proofErr w:type="gramEnd"/>
        <w:r w:rsidRPr="00C06F1B">
          <w:rPr>
            <w:rFonts w:ascii="Bookman Old Style" w:eastAsia="Times New Roman" w:hAnsi="Bookman Old Style" w:cs="Arial"/>
            <w:color w:val="808080"/>
            <w:sz w:val="24"/>
            <w:u w:val="single"/>
            <w:lang w:eastAsia="ru-RU"/>
          </w:rPr>
          <w:t>. 2 ст. 190 Жилищного кодекса</w:t>
        </w:r>
      </w:hyperlink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).</w:t>
      </w:r>
    </w:p>
    <w:p w:rsidR="00B32543" w:rsidRPr="00C06F1B" w:rsidRDefault="00B32543" w:rsidP="00B32543">
      <w:pPr>
        <w:shd w:val="clear" w:color="auto" w:fill="0060AE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FFFFFF"/>
          <w:szCs w:val="21"/>
          <w:lang w:eastAsia="ru-RU"/>
        </w:rPr>
      </w:pPr>
      <w:r w:rsidRPr="00C06F1B">
        <w:rPr>
          <w:rFonts w:ascii="Bookman Old Style" w:eastAsia="Times New Roman" w:hAnsi="Bookman Old Style" w:cs="Arial"/>
          <w:b/>
          <w:bCs/>
          <w:color w:val="FFFFFF"/>
          <w:szCs w:val="21"/>
          <w:lang w:eastAsia="ru-RU"/>
        </w:rPr>
        <w:t>4</w:t>
      </w:r>
    </w:p>
    <w:p w:rsidR="00B32543" w:rsidRPr="00C06F1B" w:rsidRDefault="00B32543" w:rsidP="00B32543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</w:pPr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В период с 3 по 27 марта 2023 года нужно подать заявление о переоформлении лицензии на управление МКД тем УК, которые получили ее до 11 января 2018 года (</w:t>
      </w:r>
      <w:hyperlink r:id="rId11" w:anchor="block_57" w:tgtFrame="_blank" w:history="1">
        <w:r w:rsidRPr="00C06F1B">
          <w:rPr>
            <w:rFonts w:ascii="Bookman Old Style" w:eastAsia="Times New Roman" w:hAnsi="Bookman Old Style" w:cs="Arial"/>
            <w:color w:val="808080"/>
            <w:sz w:val="24"/>
            <w:u w:val="single"/>
            <w:lang w:eastAsia="ru-RU"/>
          </w:rPr>
          <w:t>ч. 7 ст. 5 федерального закона от 31 декабря 2017 г. № 485-ФЗ</w:t>
        </w:r>
      </w:hyperlink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, </w:t>
      </w:r>
      <w:hyperlink r:id="rId12" w:anchor="block_34" w:tgtFrame="_blank" w:history="1">
        <w:r w:rsidRPr="00C06F1B">
          <w:rPr>
            <w:rFonts w:ascii="Bookman Old Style" w:eastAsia="Times New Roman" w:hAnsi="Bookman Old Style" w:cs="Arial"/>
            <w:color w:val="808080"/>
            <w:sz w:val="24"/>
            <w:u w:val="single"/>
            <w:lang w:eastAsia="ru-RU"/>
          </w:rPr>
          <w:t>п. 17</w:t>
        </w:r>
      </w:hyperlink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 Положения о лицензировании деятельности по управлению МКД). Платить госпошлину при этом не нужно (</w:t>
      </w:r>
      <w:hyperlink r:id="rId13" w:anchor="block_9" w:tgtFrame="_blank" w:history="1">
        <w:r w:rsidRPr="00C06F1B">
          <w:rPr>
            <w:rFonts w:ascii="Bookman Old Style" w:eastAsia="Times New Roman" w:hAnsi="Bookman Old Style" w:cs="Arial"/>
            <w:color w:val="808080"/>
            <w:sz w:val="24"/>
            <w:u w:val="single"/>
            <w:lang w:eastAsia="ru-RU"/>
          </w:rPr>
          <w:t>п. 9</w:t>
        </w:r>
      </w:hyperlink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 постановления Правительства РФ от 12 марта 2022 г. № 353 "Об особенностях разрешительной деятельности в РФ в 2022 и 2023 годах").</w:t>
      </w:r>
    </w:p>
    <w:p w:rsidR="00B32543" w:rsidRPr="00C06F1B" w:rsidRDefault="00B32543" w:rsidP="00B32543">
      <w:pPr>
        <w:shd w:val="clear" w:color="auto" w:fill="0060AE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FFFFFF"/>
          <w:szCs w:val="21"/>
          <w:lang w:eastAsia="ru-RU"/>
        </w:rPr>
      </w:pPr>
      <w:r w:rsidRPr="00C06F1B">
        <w:rPr>
          <w:rFonts w:ascii="Bookman Old Style" w:eastAsia="Times New Roman" w:hAnsi="Bookman Old Style" w:cs="Arial"/>
          <w:b/>
          <w:bCs/>
          <w:color w:val="FFFFFF"/>
          <w:szCs w:val="21"/>
          <w:lang w:eastAsia="ru-RU"/>
        </w:rPr>
        <w:t>5</w:t>
      </w:r>
    </w:p>
    <w:p w:rsidR="00B32543" w:rsidRPr="00C06F1B" w:rsidRDefault="00B32543" w:rsidP="00B32543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</w:pPr>
      <w:r w:rsidRPr="00C06F1B">
        <w:rPr>
          <w:rFonts w:ascii="Bookman Old Style" w:eastAsia="Times New Roman" w:hAnsi="Bookman Old Style" w:cs="Arial"/>
          <w:b/>
          <w:bCs/>
          <w:color w:val="333333"/>
          <w:sz w:val="24"/>
          <w:lang w:eastAsia="ru-RU"/>
        </w:rPr>
        <w:t>Примерный </w:t>
      </w:r>
      <w:hyperlink r:id="rId14" w:anchor="block_1100" w:tgtFrame="_blank" w:history="1">
        <w:r w:rsidRPr="00C06F1B">
          <w:rPr>
            <w:rFonts w:ascii="Bookman Old Style" w:eastAsia="Times New Roman" w:hAnsi="Bookman Old Style" w:cs="Arial"/>
            <w:b/>
            <w:bCs/>
            <w:color w:val="808080"/>
            <w:sz w:val="24"/>
            <w:u w:val="single"/>
            <w:lang w:eastAsia="ru-RU"/>
          </w:rPr>
          <w:t>Перечень</w:t>
        </w:r>
      </w:hyperlink>
      <w:r w:rsidRPr="00C06F1B">
        <w:rPr>
          <w:rFonts w:ascii="Bookman Old Style" w:eastAsia="Times New Roman" w:hAnsi="Bookman Old Style" w:cs="Arial"/>
          <w:b/>
          <w:bCs/>
          <w:color w:val="333333"/>
          <w:sz w:val="24"/>
          <w:lang w:eastAsia="ru-RU"/>
        </w:rPr>
        <w:t xml:space="preserve"> работ и услуг по капремонту МКД, которые финансируются за счет средств ФКР, сформированного из минимального </w:t>
      </w:r>
      <w:r w:rsidRPr="00C06F1B">
        <w:rPr>
          <w:rFonts w:ascii="Bookman Old Style" w:eastAsia="Times New Roman" w:hAnsi="Bookman Old Style" w:cs="Arial"/>
          <w:b/>
          <w:bCs/>
          <w:color w:val="333333"/>
          <w:sz w:val="24"/>
          <w:lang w:eastAsia="ru-RU"/>
        </w:rPr>
        <w:lastRenderedPageBreak/>
        <w:t>взноса на капремонт, утвержден Минстроем России в качестве приложения к </w:t>
      </w:r>
      <w:hyperlink r:id="rId15" w:anchor="block_1000" w:tgtFrame="_blank" w:history="1">
        <w:r w:rsidRPr="00C06F1B">
          <w:rPr>
            <w:rFonts w:ascii="Bookman Old Style" w:eastAsia="Times New Roman" w:hAnsi="Bookman Old Style" w:cs="Arial"/>
            <w:b/>
            <w:bCs/>
            <w:color w:val="808080"/>
            <w:sz w:val="24"/>
            <w:u w:val="single"/>
            <w:lang w:eastAsia="ru-RU"/>
          </w:rPr>
          <w:t>методическим рекомендациям</w:t>
        </w:r>
      </w:hyperlink>
      <w:r w:rsidRPr="00C06F1B">
        <w:rPr>
          <w:rFonts w:ascii="Bookman Old Style" w:eastAsia="Times New Roman" w:hAnsi="Bookman Old Style" w:cs="Arial"/>
          <w:b/>
          <w:bCs/>
          <w:color w:val="333333"/>
          <w:sz w:val="24"/>
          <w:lang w:eastAsia="ru-RU"/>
        </w:rPr>
        <w:t> для субъектов РФ. </w:t>
      </w:r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Состав услуг (работ) в региональном акте рекомендуется определять с учетом типа и этажности МКД, стоимости проведения капремонта отдельных элементов строительных конструкций и инженерных систем МКД, </w:t>
      </w:r>
      <w:r w:rsidRPr="00C06F1B">
        <w:rPr>
          <w:rFonts w:ascii="Bookman Old Style" w:eastAsia="Times New Roman" w:hAnsi="Bookman Old Style" w:cs="Arial"/>
          <w:b/>
          <w:bCs/>
          <w:color w:val="333333"/>
          <w:sz w:val="24"/>
          <w:lang w:eastAsia="ru-RU"/>
        </w:rPr>
        <w:t>нормативных сроков их эффективной эксплуатации до проведения очередного капремонта (нормативных межремонтных сроков)</w:t>
      </w:r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. Услуги /работы и их состав можно дополнять и определять дифференцировано по муниципальным образованиям. Утвердить состав таких работ и услуг на региональном уровне крайне важно – именно к ним рекомендовано "привязать" размер предельной стоимости услуг / работ по капремонту общего имущества в МКД (см. </w:t>
      </w:r>
      <w:hyperlink r:id="rId16" w:anchor="block_16" w:tgtFrame="_blank" w:history="1">
        <w:r w:rsidRPr="00C06F1B">
          <w:rPr>
            <w:rFonts w:ascii="Bookman Old Style" w:eastAsia="Times New Roman" w:hAnsi="Bookman Old Style" w:cs="Arial"/>
            <w:color w:val="808080"/>
            <w:sz w:val="24"/>
            <w:u w:val="single"/>
            <w:lang w:eastAsia="ru-RU"/>
          </w:rPr>
          <w:t>п. 1.6</w:t>
        </w:r>
      </w:hyperlink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 МР, утв. приказом Минстроя России от 7 сентября 2017 г. № 1202/</w:t>
      </w:r>
      <w:proofErr w:type="spellStart"/>
      <w:proofErr w:type="gramStart"/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пр</w:t>
      </w:r>
      <w:proofErr w:type="spellEnd"/>
      <w:proofErr w:type="gramEnd"/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, в новой редакции).</w:t>
      </w:r>
    </w:p>
    <w:p w:rsidR="00B32543" w:rsidRPr="00C06F1B" w:rsidRDefault="00B32543" w:rsidP="00B32543">
      <w:pPr>
        <w:shd w:val="clear" w:color="auto" w:fill="0060AE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FFFFFF"/>
          <w:szCs w:val="21"/>
          <w:lang w:eastAsia="ru-RU"/>
        </w:rPr>
      </w:pPr>
      <w:r w:rsidRPr="00C06F1B">
        <w:rPr>
          <w:rFonts w:ascii="Bookman Old Style" w:eastAsia="Times New Roman" w:hAnsi="Bookman Old Style" w:cs="Arial"/>
          <w:b/>
          <w:bCs/>
          <w:color w:val="FFFFFF"/>
          <w:szCs w:val="21"/>
          <w:lang w:eastAsia="ru-RU"/>
        </w:rPr>
        <w:t>6</w:t>
      </w:r>
    </w:p>
    <w:p w:rsidR="00B32543" w:rsidRPr="00C06F1B" w:rsidRDefault="00B32543" w:rsidP="00B32543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</w:pPr>
      <w:r w:rsidRPr="00C06F1B">
        <w:rPr>
          <w:rFonts w:ascii="Bookman Old Style" w:eastAsia="Times New Roman" w:hAnsi="Bookman Old Style" w:cs="Arial"/>
          <w:b/>
          <w:bCs/>
          <w:color w:val="333333"/>
          <w:sz w:val="24"/>
          <w:lang w:eastAsia="ru-RU"/>
        </w:rPr>
        <w:t>С применением метода аналогов можно будет определять нормативы потребления коммунальных ресурсов, потребляемых при использовании и содержании общего имущества в МКД</w:t>
      </w:r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 (см. </w:t>
      </w:r>
      <w:proofErr w:type="spellStart"/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fldChar w:fldCharType="begin"/>
      </w:r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instrText xml:space="preserve"> HYPERLINK "https://base.garant.ru/76806307/" \l "block_13" \t "_blank" </w:instrText>
      </w:r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fldChar w:fldCharType="separate"/>
      </w:r>
      <w:r w:rsidRPr="00C06F1B">
        <w:rPr>
          <w:rFonts w:ascii="Bookman Old Style" w:eastAsia="Times New Roman" w:hAnsi="Bookman Old Style" w:cs="Arial"/>
          <w:color w:val="808080"/>
          <w:sz w:val="24"/>
          <w:u w:val="single"/>
          <w:lang w:eastAsia="ru-RU"/>
        </w:rPr>
        <w:t>абз</w:t>
      </w:r>
      <w:proofErr w:type="spellEnd"/>
      <w:r w:rsidRPr="00C06F1B">
        <w:rPr>
          <w:rFonts w:ascii="Bookman Old Style" w:eastAsia="Times New Roman" w:hAnsi="Bookman Old Style" w:cs="Arial"/>
          <w:color w:val="808080"/>
          <w:sz w:val="24"/>
          <w:u w:val="single"/>
          <w:lang w:eastAsia="ru-RU"/>
        </w:rPr>
        <w:t>. 1 и 2 п. 13</w:t>
      </w:r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fldChar w:fldCharType="end"/>
      </w:r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 и </w:t>
      </w:r>
      <w:hyperlink r:id="rId17" w:anchor="block_19" w:tgtFrame="_blank" w:history="1">
        <w:r w:rsidRPr="00C06F1B">
          <w:rPr>
            <w:rFonts w:ascii="Bookman Old Style" w:eastAsia="Times New Roman" w:hAnsi="Bookman Old Style" w:cs="Arial"/>
            <w:color w:val="808080"/>
            <w:sz w:val="24"/>
            <w:u w:val="single"/>
            <w:lang w:eastAsia="ru-RU"/>
          </w:rPr>
          <w:t>п. 19</w:t>
        </w:r>
      </w:hyperlink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 Правил № 306 в новой редакции). Норматив расхода тепла на подогрев воды, согласно </w:t>
      </w:r>
      <w:hyperlink r:id="rId18" w:anchor="block_321" w:tgtFrame="_blank" w:history="1">
        <w:r w:rsidRPr="00C06F1B">
          <w:rPr>
            <w:rFonts w:ascii="Bookman Old Style" w:eastAsia="Times New Roman" w:hAnsi="Bookman Old Style" w:cs="Arial"/>
            <w:color w:val="808080"/>
            <w:sz w:val="24"/>
            <w:u w:val="single"/>
            <w:lang w:eastAsia="ru-RU"/>
          </w:rPr>
          <w:t>п. 32.1</w:t>
        </w:r>
      </w:hyperlink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 Правил № 306 в новой редакции станет рассчитываться с учетом вида системы теплоснабжения (открытая, закрытая) и типа системы ГВС (централизованная, нецентрализованная).</w:t>
      </w:r>
    </w:p>
    <w:p w:rsidR="00B32543" w:rsidRPr="00C06F1B" w:rsidRDefault="00B32543" w:rsidP="00B32543">
      <w:pPr>
        <w:shd w:val="clear" w:color="auto" w:fill="0060AE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FFFFFF"/>
          <w:szCs w:val="21"/>
          <w:lang w:eastAsia="ru-RU"/>
        </w:rPr>
      </w:pPr>
      <w:r w:rsidRPr="00C06F1B">
        <w:rPr>
          <w:rFonts w:ascii="Bookman Old Style" w:eastAsia="Times New Roman" w:hAnsi="Bookman Old Style" w:cs="Arial"/>
          <w:b/>
          <w:bCs/>
          <w:color w:val="FFFFFF"/>
          <w:szCs w:val="21"/>
          <w:lang w:eastAsia="ru-RU"/>
        </w:rPr>
        <w:t>7</w:t>
      </w:r>
    </w:p>
    <w:p w:rsidR="00B32543" w:rsidRPr="00C06F1B" w:rsidRDefault="00B32543" w:rsidP="00B32543">
      <w:pPr>
        <w:shd w:val="clear" w:color="auto" w:fill="FFFFFF"/>
        <w:spacing w:after="255" w:line="270" w:lineRule="atLeast"/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</w:pPr>
      <w:r w:rsidRPr="00C06F1B">
        <w:rPr>
          <w:rFonts w:ascii="Bookman Old Style" w:eastAsia="Times New Roman" w:hAnsi="Bookman Old Style" w:cs="Arial"/>
          <w:b/>
          <w:bCs/>
          <w:color w:val="333333"/>
          <w:sz w:val="24"/>
          <w:lang w:eastAsia="ru-RU"/>
        </w:rPr>
        <w:t>Вступит в силу </w:t>
      </w:r>
      <w:proofErr w:type="spellStart"/>
      <w:r w:rsidRPr="00C06F1B">
        <w:rPr>
          <w:rFonts w:ascii="Bookman Old Style" w:eastAsia="Times New Roman" w:hAnsi="Bookman Old Style" w:cs="Arial"/>
          <w:b/>
          <w:bCs/>
          <w:color w:val="333333"/>
          <w:sz w:val="24"/>
          <w:lang w:eastAsia="ru-RU"/>
        </w:rPr>
        <w:fldChar w:fldCharType="begin"/>
      </w:r>
      <w:r w:rsidRPr="00C06F1B">
        <w:rPr>
          <w:rFonts w:ascii="Bookman Old Style" w:eastAsia="Times New Roman" w:hAnsi="Bookman Old Style" w:cs="Arial"/>
          <w:b/>
          <w:bCs/>
          <w:color w:val="333333"/>
          <w:sz w:val="24"/>
          <w:lang w:eastAsia="ru-RU"/>
        </w:rPr>
        <w:instrText xml:space="preserve"> HYPERLINK "http://base.garant.ru/405481501/" \t "_blank" </w:instrText>
      </w:r>
      <w:r w:rsidRPr="00C06F1B">
        <w:rPr>
          <w:rFonts w:ascii="Bookman Old Style" w:eastAsia="Times New Roman" w:hAnsi="Bookman Old Style" w:cs="Arial"/>
          <w:b/>
          <w:bCs/>
          <w:color w:val="333333"/>
          <w:sz w:val="24"/>
          <w:lang w:eastAsia="ru-RU"/>
        </w:rPr>
        <w:fldChar w:fldCharType="separate"/>
      </w:r>
      <w:r w:rsidRPr="00C06F1B">
        <w:rPr>
          <w:rFonts w:ascii="Bookman Old Style" w:eastAsia="Times New Roman" w:hAnsi="Bookman Old Style" w:cs="Arial"/>
          <w:b/>
          <w:bCs/>
          <w:color w:val="808080"/>
          <w:sz w:val="24"/>
          <w:u w:val="single"/>
          <w:lang w:eastAsia="ru-RU"/>
        </w:rPr>
        <w:t>профстандарт</w:t>
      </w:r>
      <w:proofErr w:type="spellEnd"/>
      <w:r w:rsidRPr="00C06F1B">
        <w:rPr>
          <w:rFonts w:ascii="Bookman Old Style" w:eastAsia="Times New Roman" w:hAnsi="Bookman Old Style" w:cs="Arial"/>
          <w:b/>
          <w:bCs/>
          <w:color w:val="333333"/>
          <w:sz w:val="24"/>
          <w:lang w:eastAsia="ru-RU"/>
        </w:rPr>
        <w:fldChar w:fldCharType="end"/>
      </w:r>
      <w:r w:rsidRPr="00C06F1B">
        <w:rPr>
          <w:rFonts w:ascii="Bookman Old Style" w:eastAsia="Times New Roman" w:hAnsi="Bookman Old Style" w:cs="Arial"/>
          <w:b/>
          <w:bCs/>
          <w:color w:val="333333"/>
          <w:sz w:val="24"/>
          <w:lang w:eastAsia="ru-RU"/>
        </w:rPr>
        <w:t> "Работник по комплексной уборке территории, относящейся к общему имуществу в МКД"</w:t>
      </w:r>
      <w:r w:rsidRPr="00C06F1B">
        <w:rPr>
          <w:rFonts w:ascii="Bookman Old Style" w:eastAsia="Times New Roman" w:hAnsi="Bookman Old Style" w:cs="Arial"/>
          <w:color w:val="333333"/>
          <w:sz w:val="24"/>
          <w:szCs w:val="23"/>
          <w:lang w:eastAsia="ru-RU"/>
        </w:rPr>
        <w:t> с описанием и характеристикой трудовых функций и требованиями к образованию (основное общее образование, краткосрочное обучение или инструктаж).</w:t>
      </w:r>
    </w:p>
    <w:p w:rsidR="004C5361" w:rsidRDefault="004C5361"/>
    <w:sectPr w:rsidR="004C5361" w:rsidSect="00B32543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382"/>
    <w:multiLevelType w:val="multilevel"/>
    <w:tmpl w:val="13B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32543"/>
    <w:rsid w:val="00302EDD"/>
    <w:rsid w:val="004C5361"/>
    <w:rsid w:val="00B3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5741419/" TargetMode="External"/><Relationship Id="rId13" Type="http://schemas.openxmlformats.org/officeDocument/2006/relationships/hyperlink" Target="https://base.garant.ru/403695416/" TargetMode="External"/><Relationship Id="rId18" Type="http://schemas.openxmlformats.org/officeDocument/2006/relationships/hyperlink" Target="https://base.garant.ru/7680630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news/1592089/" TargetMode="External"/><Relationship Id="rId12" Type="http://schemas.openxmlformats.org/officeDocument/2006/relationships/hyperlink" Target="https://base.garant.ru/70779140/" TargetMode="External"/><Relationship Id="rId17" Type="http://schemas.openxmlformats.org/officeDocument/2006/relationships/hyperlink" Target="https://base.garant.ru/7680630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76814111/53f89421bbdaf741eb2d1ecc4ddb4c33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400889843/" TargetMode="External"/><Relationship Id="rId11" Type="http://schemas.openxmlformats.org/officeDocument/2006/relationships/hyperlink" Target="https://base.garant.ru/71848790/5633a92d35b966c2ba2f1e859e7bdd69/" TargetMode="External"/><Relationship Id="rId5" Type="http://schemas.openxmlformats.org/officeDocument/2006/relationships/hyperlink" Target="http://base.garant.ru/405962963/" TargetMode="External"/><Relationship Id="rId15" Type="http://schemas.openxmlformats.org/officeDocument/2006/relationships/hyperlink" Target="https://base.garant.ru/406095193/" TargetMode="External"/><Relationship Id="rId10" Type="http://schemas.openxmlformats.org/officeDocument/2006/relationships/hyperlink" Target="https://base.garant.ru/76800881/5434a9dc4ceb5e696a30fe12e328d51d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6809832/" TargetMode="External"/><Relationship Id="rId14" Type="http://schemas.openxmlformats.org/officeDocument/2006/relationships/hyperlink" Target="https://base.garant.ru/4060951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765</Words>
  <Characters>4367</Characters>
  <Application>Microsoft Office Word</Application>
  <DocSecurity>0</DocSecurity>
  <Lines>36</Lines>
  <Paragraphs>10</Paragraphs>
  <ScaleCrop>false</ScaleCrop>
  <Company>Microsoft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cp:lastPrinted>2023-03-07T08:55:00Z</cp:lastPrinted>
  <dcterms:created xsi:type="dcterms:W3CDTF">2023-03-07T08:53:00Z</dcterms:created>
  <dcterms:modified xsi:type="dcterms:W3CDTF">2023-03-07T08:57:00Z</dcterms:modified>
</cp:coreProperties>
</file>