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14" w:rsidRPr="003F6B60" w:rsidRDefault="00440714" w:rsidP="00440714">
      <w:pPr>
        <w:jc w:val="center"/>
        <w:rPr>
          <w:b/>
          <w:sz w:val="32"/>
          <w:szCs w:val="32"/>
        </w:rPr>
      </w:pPr>
      <w:r w:rsidRPr="003F6B60">
        <w:rPr>
          <w:b/>
          <w:sz w:val="32"/>
          <w:szCs w:val="32"/>
        </w:rPr>
        <w:t>Смета расходов ТСЖ «</w:t>
      </w:r>
      <w:proofErr w:type="spellStart"/>
      <w:r w:rsidRPr="003F6B60">
        <w:rPr>
          <w:b/>
          <w:sz w:val="32"/>
          <w:szCs w:val="32"/>
        </w:rPr>
        <w:t>Плехановская</w:t>
      </w:r>
      <w:proofErr w:type="spellEnd"/>
      <w:r w:rsidRPr="003F6B60">
        <w:rPr>
          <w:b/>
          <w:sz w:val="32"/>
          <w:szCs w:val="32"/>
        </w:rPr>
        <w:t xml:space="preserve"> 35»</w:t>
      </w:r>
    </w:p>
    <w:p w:rsidR="00440714" w:rsidRPr="003F6B60" w:rsidRDefault="00440714" w:rsidP="00440714">
      <w:pPr>
        <w:jc w:val="center"/>
        <w:rPr>
          <w:b/>
          <w:sz w:val="32"/>
          <w:szCs w:val="32"/>
        </w:rPr>
      </w:pPr>
      <w:r w:rsidRPr="003F6B60">
        <w:rPr>
          <w:b/>
          <w:sz w:val="32"/>
          <w:szCs w:val="32"/>
        </w:rPr>
        <w:t>С 01.10.2010г. по 30.09.2011г.</w:t>
      </w:r>
    </w:p>
    <w:p w:rsidR="00440714" w:rsidRPr="007657DF" w:rsidRDefault="00440714" w:rsidP="00440714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3195"/>
        <w:gridCol w:w="1469"/>
        <w:gridCol w:w="1469"/>
        <w:gridCol w:w="1517"/>
      </w:tblGrid>
      <w:tr w:rsidR="00440714" w:rsidRPr="007657DF" w:rsidTr="003F1555">
        <w:trPr>
          <w:trHeight w:val="761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 w:rsidRPr="007657DF">
              <w:t>№</w:t>
            </w:r>
          </w:p>
          <w:p w:rsidR="00440714" w:rsidRPr="007657DF" w:rsidRDefault="00440714" w:rsidP="003F1555">
            <w:proofErr w:type="spellStart"/>
            <w:proofErr w:type="gramStart"/>
            <w:r w:rsidRPr="007657DF">
              <w:t>п</w:t>
            </w:r>
            <w:proofErr w:type="spellEnd"/>
            <w:proofErr w:type="gramEnd"/>
            <w:r w:rsidRPr="007657DF">
              <w:t>/</w:t>
            </w:r>
            <w:proofErr w:type="spellStart"/>
            <w:r w:rsidRPr="007657DF">
              <w:t>п</w:t>
            </w:r>
            <w:proofErr w:type="spellEnd"/>
          </w:p>
          <w:p w:rsidR="00440714" w:rsidRPr="007657DF" w:rsidRDefault="00440714" w:rsidP="003F1555"/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/>
          <w:p w:rsidR="00440714" w:rsidRPr="007657DF" w:rsidRDefault="00440714" w:rsidP="003F1555">
            <w:r w:rsidRPr="007657DF">
              <w:t>Статьи расходов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/>
          <w:p w:rsidR="00440714" w:rsidRPr="007657DF" w:rsidRDefault="00440714" w:rsidP="003F1555">
            <w:proofErr w:type="gramStart"/>
            <w:r w:rsidRPr="007657DF">
              <w:t>Сумма  руб.)</w:t>
            </w:r>
            <w:proofErr w:type="gramEnd"/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 w:rsidRPr="007657DF">
              <w:t>С</w:t>
            </w:r>
            <w:r>
              <w:t>тоимость расхо</w:t>
            </w:r>
            <w:r w:rsidRPr="007657DF">
              <w:t xml:space="preserve">дов </w:t>
            </w:r>
            <w:r>
              <w:t xml:space="preserve"> в руб</w:t>
            </w:r>
            <w:proofErr w:type="gramStart"/>
            <w:r>
              <w:t>.</w:t>
            </w:r>
            <w:r w:rsidRPr="007657DF">
              <w:t>н</w:t>
            </w:r>
            <w:proofErr w:type="gramEnd"/>
            <w:r w:rsidRPr="007657DF">
              <w:t>а 1</w:t>
            </w:r>
            <w:r>
              <w:t>кв.м</w:t>
            </w:r>
          </w:p>
        </w:tc>
        <w:tc>
          <w:tcPr>
            <w:tcW w:w="1517" w:type="dxa"/>
            <w:shd w:val="clear" w:color="auto" w:fill="auto"/>
          </w:tcPr>
          <w:p w:rsidR="00440714" w:rsidRPr="007657DF" w:rsidRDefault="00440714" w:rsidP="003F1555">
            <w:r w:rsidRPr="007657DF">
              <w:t>Обслуживаемая площадь кв</w:t>
            </w:r>
            <w:proofErr w:type="gramStart"/>
            <w:r w:rsidRPr="007657DF">
              <w:t>.м</w:t>
            </w:r>
            <w:proofErr w:type="gramEnd"/>
          </w:p>
        </w:tc>
      </w:tr>
      <w:tr w:rsidR="00440714" w:rsidRPr="007657DF" w:rsidTr="003F1555">
        <w:trPr>
          <w:trHeight w:val="390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 w:rsidRPr="007657DF">
              <w:t>1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 w:rsidRPr="007657DF">
              <w:t>Заработная плата персонала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 w:rsidRPr="007657DF">
              <w:t>344964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3,51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440714" w:rsidRDefault="00440714" w:rsidP="003F1555">
            <w:pPr>
              <w:jc w:val="center"/>
            </w:pPr>
          </w:p>
          <w:p w:rsidR="00440714" w:rsidRPr="007657DF" w:rsidRDefault="00440714" w:rsidP="003F1555">
            <w:pPr>
              <w:jc w:val="center"/>
            </w:pPr>
            <w:r>
              <w:t>8204,71</w:t>
            </w:r>
          </w:p>
        </w:tc>
      </w:tr>
      <w:tr w:rsidR="00440714" w:rsidRPr="007657DF" w:rsidTr="003F1555">
        <w:trPr>
          <w:trHeight w:val="259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2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 xml:space="preserve">Страховые взносы на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11798,408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1,14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  <w:tr w:rsidR="00440714" w:rsidRPr="007657DF" w:rsidTr="003F1555">
        <w:trPr>
          <w:trHeight w:val="259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3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>Услуги банка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15000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0,16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  <w:tr w:rsidR="00440714" w:rsidRPr="007657DF" w:rsidTr="003F1555">
        <w:trPr>
          <w:trHeight w:val="259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4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>Мех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чет МИВЦ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42000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0,43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  <w:tr w:rsidR="00440714" w:rsidRPr="007657DF" w:rsidTr="003F1555">
        <w:trPr>
          <w:trHeight w:val="790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5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>Комиссия банка за перечисления от населения за услуги</w:t>
            </w:r>
          </w:p>
        </w:tc>
        <w:tc>
          <w:tcPr>
            <w:tcW w:w="1469" w:type="dxa"/>
            <w:shd w:val="clear" w:color="auto" w:fill="auto"/>
          </w:tcPr>
          <w:p w:rsidR="00440714" w:rsidRDefault="00440714" w:rsidP="003F1555"/>
          <w:p w:rsidR="00440714" w:rsidRPr="00322A50" w:rsidRDefault="00440714" w:rsidP="003F1555">
            <w:r>
              <w:t>36000</w:t>
            </w:r>
          </w:p>
        </w:tc>
        <w:tc>
          <w:tcPr>
            <w:tcW w:w="1469" w:type="dxa"/>
            <w:shd w:val="clear" w:color="auto" w:fill="auto"/>
          </w:tcPr>
          <w:p w:rsidR="00440714" w:rsidRDefault="00440714" w:rsidP="003F1555"/>
          <w:p w:rsidR="00440714" w:rsidRPr="00322A50" w:rsidRDefault="00440714" w:rsidP="003F1555">
            <w:r>
              <w:t>0,37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  <w:tr w:rsidR="00440714" w:rsidRPr="007657DF" w:rsidTr="003F1555">
        <w:trPr>
          <w:trHeight w:val="1049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6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>Техническое обслуживание систем отопления, водоснабжения, электроснабжения</w:t>
            </w:r>
          </w:p>
        </w:tc>
        <w:tc>
          <w:tcPr>
            <w:tcW w:w="1469" w:type="dxa"/>
            <w:shd w:val="clear" w:color="auto" w:fill="auto"/>
          </w:tcPr>
          <w:p w:rsidR="00440714" w:rsidRDefault="00440714" w:rsidP="003F1555"/>
          <w:p w:rsidR="00440714" w:rsidRPr="00322A50" w:rsidRDefault="00440714" w:rsidP="003F1555">
            <w:r>
              <w:t>69959,58</w:t>
            </w:r>
          </w:p>
        </w:tc>
        <w:tc>
          <w:tcPr>
            <w:tcW w:w="1469" w:type="dxa"/>
            <w:shd w:val="clear" w:color="auto" w:fill="auto"/>
          </w:tcPr>
          <w:p w:rsidR="00440714" w:rsidRDefault="00440714" w:rsidP="003F1555"/>
          <w:p w:rsidR="00440714" w:rsidRPr="00322A50" w:rsidRDefault="00440714" w:rsidP="003F1555">
            <w:r>
              <w:t>0,71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3571B6" w:rsidRDefault="00440714" w:rsidP="003F1555"/>
        </w:tc>
      </w:tr>
      <w:tr w:rsidR="00440714" w:rsidRPr="007657DF" w:rsidTr="003F1555">
        <w:trPr>
          <w:trHeight w:val="517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7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>Проверка дымоходов и вентиляционных каналов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6000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0,06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  <w:tr w:rsidR="00440714" w:rsidRPr="007657DF" w:rsidTr="003F1555">
        <w:trPr>
          <w:trHeight w:val="532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8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>Текущий ремонт и материалы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43290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 xml:space="preserve">0,44 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  <w:tr w:rsidR="00440714" w:rsidRPr="007657DF" w:rsidTr="003F1555">
        <w:trPr>
          <w:trHeight w:val="790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9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>Расходы на канц. товары, почтовые и копировальные расходы</w:t>
            </w:r>
          </w:p>
        </w:tc>
        <w:tc>
          <w:tcPr>
            <w:tcW w:w="1469" w:type="dxa"/>
            <w:shd w:val="clear" w:color="auto" w:fill="auto"/>
          </w:tcPr>
          <w:p w:rsidR="00440714" w:rsidRDefault="00440714" w:rsidP="003F1555"/>
          <w:p w:rsidR="00440714" w:rsidRPr="005711F0" w:rsidRDefault="00440714" w:rsidP="003F1555">
            <w:r>
              <w:t>6000</w:t>
            </w:r>
          </w:p>
        </w:tc>
        <w:tc>
          <w:tcPr>
            <w:tcW w:w="1469" w:type="dxa"/>
            <w:shd w:val="clear" w:color="auto" w:fill="auto"/>
          </w:tcPr>
          <w:p w:rsidR="00440714" w:rsidRDefault="00440714" w:rsidP="003F1555"/>
          <w:p w:rsidR="00440714" w:rsidRPr="005711F0" w:rsidRDefault="00440714" w:rsidP="003F1555">
            <w:r>
              <w:t>0,06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  <w:tr w:rsidR="00440714" w:rsidRPr="007657DF" w:rsidTr="003F1555">
        <w:trPr>
          <w:trHeight w:val="259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>
            <w:r>
              <w:t>10</w:t>
            </w:r>
          </w:p>
        </w:tc>
        <w:tc>
          <w:tcPr>
            <w:tcW w:w="3195" w:type="dxa"/>
            <w:shd w:val="clear" w:color="auto" w:fill="auto"/>
          </w:tcPr>
          <w:p w:rsidR="00440714" w:rsidRPr="007657DF" w:rsidRDefault="00440714" w:rsidP="003F1555">
            <w:r>
              <w:t>Услуги прочих организаций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20000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0,203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  <w:tr w:rsidR="00440714" w:rsidRPr="007657DF" w:rsidTr="003F1555">
        <w:trPr>
          <w:trHeight w:val="555"/>
        </w:trPr>
        <w:tc>
          <w:tcPr>
            <w:tcW w:w="770" w:type="dxa"/>
            <w:shd w:val="clear" w:color="auto" w:fill="auto"/>
          </w:tcPr>
          <w:p w:rsidR="00440714" w:rsidRPr="007657DF" w:rsidRDefault="00440714" w:rsidP="003F1555"/>
        </w:tc>
        <w:tc>
          <w:tcPr>
            <w:tcW w:w="3195" w:type="dxa"/>
            <w:shd w:val="clear" w:color="auto" w:fill="auto"/>
          </w:tcPr>
          <w:p w:rsidR="00440714" w:rsidRPr="003571B6" w:rsidRDefault="00440714" w:rsidP="003F1555">
            <w:r w:rsidRPr="003571B6">
              <w:t>Итого: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695011,928</w:t>
            </w:r>
          </w:p>
        </w:tc>
        <w:tc>
          <w:tcPr>
            <w:tcW w:w="1469" w:type="dxa"/>
            <w:shd w:val="clear" w:color="auto" w:fill="auto"/>
          </w:tcPr>
          <w:p w:rsidR="00440714" w:rsidRPr="007657DF" w:rsidRDefault="00440714" w:rsidP="003F1555">
            <w:r>
              <w:t>7,06</w:t>
            </w:r>
          </w:p>
        </w:tc>
        <w:tc>
          <w:tcPr>
            <w:tcW w:w="1517" w:type="dxa"/>
            <w:vMerge/>
            <w:shd w:val="clear" w:color="auto" w:fill="auto"/>
          </w:tcPr>
          <w:p w:rsidR="00440714" w:rsidRPr="007657DF" w:rsidRDefault="00440714" w:rsidP="003F1555"/>
        </w:tc>
      </w:tr>
    </w:tbl>
    <w:p w:rsidR="00440714" w:rsidRDefault="00440714" w:rsidP="00440714"/>
    <w:p w:rsidR="00440714" w:rsidRDefault="00440714" w:rsidP="00440714"/>
    <w:p w:rsidR="00440714" w:rsidRDefault="00440714" w:rsidP="00440714"/>
    <w:p w:rsidR="00440714" w:rsidRDefault="00440714" w:rsidP="00440714"/>
    <w:p w:rsidR="00440714" w:rsidRDefault="00440714" w:rsidP="00440714"/>
    <w:p w:rsidR="00440714" w:rsidRDefault="00440714" w:rsidP="00440714"/>
    <w:p w:rsidR="00440714" w:rsidRDefault="00440714" w:rsidP="00440714"/>
    <w:p w:rsidR="00440714" w:rsidRDefault="00440714" w:rsidP="00440714"/>
    <w:p w:rsidR="00440714" w:rsidRDefault="00440714" w:rsidP="00440714"/>
    <w:p w:rsidR="00440714" w:rsidRDefault="00440714" w:rsidP="00440714"/>
    <w:p w:rsidR="00440714" w:rsidRDefault="00440714" w:rsidP="00440714">
      <w:pPr>
        <w:jc w:val="center"/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jc w:val="center"/>
        <w:rPr>
          <w:b/>
          <w:sz w:val="32"/>
          <w:szCs w:val="32"/>
        </w:rPr>
      </w:pPr>
    </w:p>
    <w:p w:rsidR="00440714" w:rsidRDefault="00440714" w:rsidP="00440714">
      <w:pPr>
        <w:rPr>
          <w:b/>
          <w:sz w:val="32"/>
          <w:szCs w:val="32"/>
        </w:rPr>
      </w:pPr>
    </w:p>
    <w:p w:rsidR="00F4249E" w:rsidRDefault="00F4249E"/>
    <w:sectPr w:rsidR="00F4249E" w:rsidSect="00F4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14"/>
    <w:rsid w:val="00440714"/>
    <w:rsid w:val="00F4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Администрация городского округа г. Воронеж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2012-05-22T11:46:00Z</dcterms:created>
  <dcterms:modified xsi:type="dcterms:W3CDTF">2012-05-22T11:46:00Z</dcterms:modified>
</cp:coreProperties>
</file>