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171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01"/>
        <w:gridCol w:w="931"/>
        <w:gridCol w:w="953"/>
        <w:gridCol w:w="992"/>
        <w:gridCol w:w="912"/>
      </w:tblGrid>
      <w:tr w:rsidR="00B672D3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272D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468 565,92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186 618,70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99 263,00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65 885,00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</w:t>
            </w:r>
            <w:r w:rsidR="00272D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72D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</w:tr>
      <w:tr w:rsidR="009E14CA" w:rsidRPr="009E14CA" w:rsidTr="00840C66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856F81" w:rsidRDefault="00856F81" w:rsidP="00856F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6F8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 w:rsidRPr="00856F8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72DD9" w:rsidRPr="00856F81">
              <w:rPr>
                <w:rFonts w:ascii="Times New Roman" w:hAnsi="Times New Roman" w:cs="Times New Roman"/>
                <w:sz w:val="17"/>
                <w:szCs w:val="17"/>
              </w:rPr>
              <w:t>943 387,72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145 570,50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C33916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6 262,00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D312D9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48 939,00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D312D9" w:rsidP="00272D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72DD9">
              <w:rPr>
                <w:rFonts w:ascii="Times New Roman" w:hAnsi="Times New Roman" w:cs="Times New Roman"/>
                <w:sz w:val="17"/>
                <w:szCs w:val="17"/>
              </w:rPr>
              <w:t>7 902,00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72DD9" w:rsidP="00272D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</w:tr>
      <w:tr w:rsidR="00944595" w:rsidRPr="009E14CA" w:rsidTr="00840C66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строительной политики администрации городского округа город 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674,80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8B4ECF" w:rsidRPr="009E14CA" w:rsidTr="00840C66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B4ECF" w:rsidRPr="009E14CA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98 338,60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8B4ECF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8B4ECF" w:rsidRPr="009E14CA" w:rsidRDefault="008B4E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04582C" w:rsidRDefault="008B4ECF" w:rsidP="00D312D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4582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12 327,30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10840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18 253,80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 xml:space="preserve"> 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B10CF" w:rsidRPr="009E14CA" w:rsidRDefault="006B10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9E14CA" w:rsidTr="00CB5269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D12AAF" w:rsidRDefault="003B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72DD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D12AAF" w:rsidRDefault="00272DD9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9E14CA" w:rsidRDefault="00272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DD9" w:rsidRPr="009E14CA" w:rsidRDefault="00272DD9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1 361 461,51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90 183,10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856F81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6F8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22 858,00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 w:rsidP="00272DD9">
            <w:pPr>
              <w:jc w:val="center"/>
            </w:pPr>
            <w:r w:rsidRPr="006E63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 w:rsidP="00272DD9">
            <w:pPr>
              <w:jc w:val="center"/>
            </w:pPr>
            <w:r w:rsidRPr="006E630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856F81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26B1D" w:rsidRPr="009E14CA" w:rsidRDefault="0022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72DD9">
              <w:rPr>
                <w:rFonts w:ascii="Times New Roman" w:hAnsi="Times New Roman" w:cs="Times New Roman"/>
                <w:sz w:val="17"/>
                <w:szCs w:val="17"/>
              </w:rPr>
              <w:t> 355 411,51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856F81" w:rsidRDefault="00856F81" w:rsidP="00856F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6F81">
              <w:rPr>
                <w:rFonts w:ascii="Times New Roman" w:hAnsi="Times New Roman" w:cs="Times New Roman"/>
                <w:sz w:val="17"/>
                <w:szCs w:val="17"/>
              </w:rPr>
              <w:t>22 858,0</w:t>
            </w:r>
            <w:r w:rsidR="00AD09B1" w:rsidRPr="00856F8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72DD9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AD09B1">
              <w:rPr>
                <w:rFonts w:ascii="Times New Roman" w:hAnsi="Times New Roman" w:cs="Times New Roman"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72DD9" w:rsidP="00272D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226B1D" w:rsidRPr="00226B1D">
              <w:rPr>
                <w:rFonts w:ascii="Times New Roman" w:hAnsi="Times New Roman" w:cs="Times New Roman"/>
                <w:bCs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24,</w:t>
            </w:r>
            <w:r w:rsidR="00272D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D15B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093,00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5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75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840C66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5C6B72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</w:t>
            </w:r>
            <w:r w:rsidR="00865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86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</w:t>
            </w:r>
            <w:r w:rsidR="00BF5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из домов 1/1 по ул. Никольской, 19 по ул. Ростовской, 56  по 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120CBA">
              <w:rPr>
                <w:rFonts w:ascii="Times New Roman" w:hAnsi="Times New Roman" w:cs="Times New Roman"/>
                <w:sz w:val="18"/>
                <w:szCs w:val="18"/>
              </w:rPr>
              <w:t xml:space="preserve">дома 54 по ул. </w:t>
            </w:r>
            <w:proofErr w:type="gramStart"/>
            <w:r w:rsidR="00120CBA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D12AAF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503,17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44 587,60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6 050,00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15A0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9E14CA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320936" w:rsidP="00AD0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503,17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6 050,00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72DD9" w:rsidRPr="009E14CA" w:rsidTr="00F367B4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5362F2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DD9" w:rsidRPr="005362F2" w:rsidRDefault="00272DD9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проживания жилищного фонда»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Pr="009E14CA" w:rsidRDefault="00272DD9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35BE0" w:rsidRDefault="00272DD9" w:rsidP="00272D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79 660,15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435BE0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42 502,50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16 808,00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>
            <w:r w:rsidRPr="008848A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9" w:rsidRDefault="00272DD9">
            <w:r w:rsidRPr="008848A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9" w:rsidRPr="009E14CA" w:rsidRDefault="00272DD9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  <w:r w:rsidR="00D72ACB">
              <w:rPr>
                <w:rFonts w:ascii="Times New Roman" w:hAnsi="Times New Roman" w:cs="Times New Roman"/>
                <w:sz w:val="17"/>
                <w:szCs w:val="17"/>
              </w:rPr>
              <w:t>***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79 660,15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2 502,50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16 808,00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72DD9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D19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3B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10 200,40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3B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13B7D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3B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27894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0F46D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0F46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9693,10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9C6E9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2 579,40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D85466" w:rsidRDefault="00D85466" w:rsidP="000F46D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85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F46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3 159,00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27894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98 338,60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774A8E" w:rsidRPr="009E14CA" w:rsidTr="00FE3063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610840" w:rsidRDefault="005C6B72" w:rsidP="00FE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610840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</w:t>
            </w:r>
            <w:r w:rsidR="00774A8E" w:rsidRPr="005C6B7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727018" w:rsidRPr="005C6B72">
              <w:rPr>
                <w:rFonts w:ascii="Times New Roman" w:hAnsi="Times New Roman" w:cs="Times New Roman"/>
                <w:sz w:val="17"/>
                <w:szCs w:val="17"/>
              </w:rPr>
              <w:t>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93410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980,0</w:t>
            </w:r>
            <w:r w:rsidR="00887CF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9E14CA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610840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1 446,00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1,50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3B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74A8E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01A7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</w:t>
            </w:r>
            <w:r w:rsidR="005055B8">
              <w:rPr>
                <w:rFonts w:ascii="Times New Roman" w:hAnsi="Times New Roman" w:cs="Times New Roman"/>
                <w:sz w:val="18"/>
                <w:szCs w:val="18"/>
              </w:rPr>
              <w:t xml:space="preserve">иципальным казенным предприятием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Воронеж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«Воронежский жилищно-коммунальный комбинат» (МКП 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«ВЖКК»)</w:t>
            </w:r>
          </w:p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91 220,39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8 204,00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39 593,00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6 624,00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36 184,00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774A8E" w:rsidRPr="009E14CA" w:rsidTr="00840C66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90 737,39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38 139,00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39 533,00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36 564,00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36 124,00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11 288,60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жилищно-коммунального хозяйства 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администрации городского округа город Воронеж</w:t>
            </w: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1 288,60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774A8E" w:rsidRPr="009E14CA" w:rsidTr="00840C66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91D71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9E14CA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5C6B72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Default="005C6B72" w:rsidP="0065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3B01A7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5C6B72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D34EB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840C66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324CE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24CE3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</w:t>
            </w:r>
          </w:p>
          <w:p w:rsidR="00CB6516" w:rsidRDefault="00CB6516" w:rsidP="00C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727018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06B">
        <w:rPr>
          <w:rFonts w:ascii="Times New Roman" w:hAnsi="Times New Roman" w:cs="Times New Roman"/>
          <w:sz w:val="21"/>
          <w:szCs w:val="21"/>
        </w:rPr>
        <w:t>**</w:t>
      </w:r>
      <w:r w:rsidR="002C39DE">
        <w:rPr>
          <w:rFonts w:ascii="Times New Roman" w:hAnsi="Times New Roman" w:cs="Times New Roman"/>
          <w:sz w:val="21"/>
          <w:szCs w:val="21"/>
        </w:rPr>
        <w:t>О</w:t>
      </w:r>
      <w:r w:rsidR="00A86BB3" w:rsidRPr="00A2506B">
        <w:rPr>
          <w:rFonts w:ascii="Times New Roman" w:hAnsi="Times New Roman" w:cs="Times New Roman"/>
          <w:sz w:val="21"/>
          <w:szCs w:val="21"/>
        </w:rPr>
        <w:t>бъем финансирования мероприятия за счет бюджета городского округа город Воронеж будет уточняться в установленном порядке</w:t>
      </w:r>
      <w:r w:rsidR="002C39DE">
        <w:rPr>
          <w:rFonts w:ascii="Times New Roman" w:hAnsi="Times New Roman" w:cs="Times New Roman"/>
          <w:sz w:val="21"/>
          <w:szCs w:val="21"/>
        </w:rPr>
        <w:t>.</w:t>
      </w:r>
    </w:p>
    <w:p w:rsidR="001864CE" w:rsidRDefault="00D72AC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E7BDE">
        <w:rPr>
          <w:rFonts w:ascii="Times New Roman" w:hAnsi="Times New Roman" w:cs="Times New Roman"/>
          <w:sz w:val="21"/>
          <w:szCs w:val="21"/>
        </w:rPr>
        <w:t>*** В связи с заключенным соглашением от 17.02.2021  между Фондом содействия реформированию ЖКХ и Воронежской областью о досрочном завершении расселения аварийного жилищного фонда, признанного таковым до 01.01.2017 года</w:t>
      </w:r>
      <w:r w:rsidR="00BE7BDE">
        <w:rPr>
          <w:rFonts w:ascii="Times New Roman" w:hAnsi="Times New Roman" w:cs="Times New Roman"/>
          <w:sz w:val="21"/>
          <w:szCs w:val="21"/>
        </w:rPr>
        <w:t>,</w:t>
      </w:r>
      <w:r w:rsidRPr="00BE7BDE">
        <w:rPr>
          <w:rFonts w:ascii="Times New Roman" w:hAnsi="Times New Roman" w:cs="Times New Roman"/>
          <w:sz w:val="21"/>
          <w:szCs w:val="21"/>
        </w:rPr>
        <w:t xml:space="preserve"> бюджетные ассигнования на реализацию мероприятия 1.11 «Муниципальная составляющая регионального проекта «Обеспечение устойчивого сокращения непригодного для проживания жилищного фонда» будут увеличены.</w:t>
      </w: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4CE">
        <w:rPr>
          <w:rFonts w:ascii="Times New Roman" w:hAnsi="Times New Roman" w:cs="Times New Roman"/>
          <w:sz w:val="28"/>
          <w:szCs w:val="28"/>
        </w:rPr>
        <w:t>Р</w:t>
      </w:r>
      <w:r w:rsidR="0078751C" w:rsidRPr="001864CE">
        <w:rPr>
          <w:rFonts w:ascii="Times New Roman" w:hAnsi="Times New Roman" w:cs="Times New Roman"/>
          <w:sz w:val="28"/>
          <w:szCs w:val="28"/>
        </w:rPr>
        <w:t>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 w:rsidR="00BE7BDE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76" w:rsidRDefault="003B4376" w:rsidP="008A669B">
      <w:pPr>
        <w:spacing w:after="0" w:line="240" w:lineRule="auto"/>
      </w:pPr>
      <w:r>
        <w:separator/>
      </w:r>
    </w:p>
  </w:endnote>
  <w:endnote w:type="continuationSeparator" w:id="0">
    <w:p w:rsidR="003B4376" w:rsidRDefault="003B437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76" w:rsidRDefault="003B4376" w:rsidP="008A669B">
      <w:pPr>
        <w:spacing w:after="0" w:line="240" w:lineRule="auto"/>
      </w:pPr>
      <w:r>
        <w:separator/>
      </w:r>
    </w:p>
  </w:footnote>
  <w:footnote w:type="continuationSeparator" w:id="0">
    <w:p w:rsidR="003B4376" w:rsidRDefault="003B437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AD09B1" w:rsidRDefault="00AD09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BD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1AE0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46D8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C5C"/>
    <w:rsid w:val="00226B1D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2DD9"/>
    <w:rsid w:val="00273667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4DC"/>
    <w:rsid w:val="002C39DE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6399"/>
    <w:rsid w:val="00377331"/>
    <w:rsid w:val="00380A9F"/>
    <w:rsid w:val="0038338F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376"/>
    <w:rsid w:val="003B4CE3"/>
    <w:rsid w:val="003B6D3A"/>
    <w:rsid w:val="003D32E3"/>
    <w:rsid w:val="003D5F5C"/>
    <w:rsid w:val="003E189F"/>
    <w:rsid w:val="003E583E"/>
    <w:rsid w:val="003F1841"/>
    <w:rsid w:val="003F7740"/>
    <w:rsid w:val="00403FC9"/>
    <w:rsid w:val="00404141"/>
    <w:rsid w:val="004073E3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5F84"/>
    <w:rsid w:val="004C6DB0"/>
    <w:rsid w:val="004D036A"/>
    <w:rsid w:val="004D0B2E"/>
    <w:rsid w:val="004D2127"/>
    <w:rsid w:val="004D2528"/>
    <w:rsid w:val="004D70BA"/>
    <w:rsid w:val="004E2715"/>
    <w:rsid w:val="004E66AA"/>
    <w:rsid w:val="004F2DD2"/>
    <w:rsid w:val="004F4698"/>
    <w:rsid w:val="004F6DCD"/>
    <w:rsid w:val="004F7A11"/>
    <w:rsid w:val="00502F39"/>
    <w:rsid w:val="005055B8"/>
    <w:rsid w:val="00513C93"/>
    <w:rsid w:val="00515A1C"/>
    <w:rsid w:val="00516CE6"/>
    <w:rsid w:val="00522E60"/>
    <w:rsid w:val="005230AB"/>
    <w:rsid w:val="0052392C"/>
    <w:rsid w:val="0052624F"/>
    <w:rsid w:val="005362F2"/>
    <w:rsid w:val="005419C1"/>
    <w:rsid w:val="00553AA5"/>
    <w:rsid w:val="00555952"/>
    <w:rsid w:val="00561B0F"/>
    <w:rsid w:val="00567C58"/>
    <w:rsid w:val="005767B7"/>
    <w:rsid w:val="0058706B"/>
    <w:rsid w:val="005919B5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331C"/>
    <w:rsid w:val="00610840"/>
    <w:rsid w:val="00611C70"/>
    <w:rsid w:val="00612056"/>
    <w:rsid w:val="00613FD3"/>
    <w:rsid w:val="006165D3"/>
    <w:rsid w:val="00620B6A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8C3"/>
    <w:rsid w:val="00677494"/>
    <w:rsid w:val="00684CED"/>
    <w:rsid w:val="00694E61"/>
    <w:rsid w:val="0069755D"/>
    <w:rsid w:val="0069761E"/>
    <w:rsid w:val="006A59AF"/>
    <w:rsid w:val="006A5D9F"/>
    <w:rsid w:val="006B030A"/>
    <w:rsid w:val="006B10CF"/>
    <w:rsid w:val="006B2F3F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2940"/>
    <w:rsid w:val="007331F9"/>
    <w:rsid w:val="00741114"/>
    <w:rsid w:val="00744067"/>
    <w:rsid w:val="0074613D"/>
    <w:rsid w:val="0076086D"/>
    <w:rsid w:val="0076194B"/>
    <w:rsid w:val="00761A56"/>
    <w:rsid w:val="007643C3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82E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56F81"/>
    <w:rsid w:val="00865F56"/>
    <w:rsid w:val="008710B9"/>
    <w:rsid w:val="00873D31"/>
    <w:rsid w:val="00884BDE"/>
    <w:rsid w:val="00887CF3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A00144"/>
    <w:rsid w:val="00A03CE0"/>
    <w:rsid w:val="00A13836"/>
    <w:rsid w:val="00A15533"/>
    <w:rsid w:val="00A15A04"/>
    <w:rsid w:val="00A20C95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A3395"/>
    <w:rsid w:val="00AA409D"/>
    <w:rsid w:val="00AB0892"/>
    <w:rsid w:val="00AB1FBF"/>
    <w:rsid w:val="00AB2236"/>
    <w:rsid w:val="00AB251F"/>
    <w:rsid w:val="00AB4154"/>
    <w:rsid w:val="00AC7A27"/>
    <w:rsid w:val="00AD09B1"/>
    <w:rsid w:val="00AD0ECB"/>
    <w:rsid w:val="00AD27E7"/>
    <w:rsid w:val="00AD2C45"/>
    <w:rsid w:val="00AD4D61"/>
    <w:rsid w:val="00AE7DE0"/>
    <w:rsid w:val="00AF3B76"/>
    <w:rsid w:val="00B00B97"/>
    <w:rsid w:val="00B02218"/>
    <w:rsid w:val="00B06F1A"/>
    <w:rsid w:val="00B10BA6"/>
    <w:rsid w:val="00B2300C"/>
    <w:rsid w:val="00B2640F"/>
    <w:rsid w:val="00B375E2"/>
    <w:rsid w:val="00B43D28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06C8"/>
    <w:rsid w:val="00BB15EF"/>
    <w:rsid w:val="00BB3D96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E7BDE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3C0"/>
    <w:rsid w:val="00CB4DD5"/>
    <w:rsid w:val="00CB6516"/>
    <w:rsid w:val="00CB679F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12D9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2ACB"/>
    <w:rsid w:val="00D74E47"/>
    <w:rsid w:val="00D8125F"/>
    <w:rsid w:val="00D81FF9"/>
    <w:rsid w:val="00D85466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700D5"/>
    <w:rsid w:val="00E7081B"/>
    <w:rsid w:val="00E7201D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54A2"/>
    <w:rsid w:val="00EB70CE"/>
    <w:rsid w:val="00EB7696"/>
    <w:rsid w:val="00EC1B3A"/>
    <w:rsid w:val="00EC2B5E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3387"/>
    <w:rsid w:val="00FC7B21"/>
    <w:rsid w:val="00FD3FFC"/>
    <w:rsid w:val="00FD66B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24A32-BB6B-48A2-8B66-54D52A62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5</cp:revision>
  <cp:lastPrinted>2021-03-09T13:39:00Z</cp:lastPrinted>
  <dcterms:created xsi:type="dcterms:W3CDTF">2021-03-09T12:50:00Z</dcterms:created>
  <dcterms:modified xsi:type="dcterms:W3CDTF">2021-03-15T12:28:00Z</dcterms:modified>
</cp:coreProperties>
</file>