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0D5B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</w:t>
            </w:r>
            <w:r w:rsidR="000D5BC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20.05.2021   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D66B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D5BC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468</w:t>
            </w:r>
            <w:bookmarkStart w:id="0" w:name="_GoBack"/>
            <w:bookmarkEnd w:id="0"/>
          </w:p>
        </w:tc>
      </w:tr>
    </w:tbl>
    <w:p w:rsidR="001D46D7" w:rsidRPr="000D5BC9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CB3D7C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32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81144C">
        <w:trPr>
          <w:trHeight w:val="233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  <w:r w:rsidR="004D79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4D7909">
              <w:rPr>
                <w:rFonts w:ascii="Times New Roman" w:hAnsi="Times New Roman"/>
                <w:sz w:val="28"/>
                <w:szCs w:val="28"/>
                <w:lang w:eastAsia="ru-RU"/>
              </w:rPr>
              <w:t>(до 2018 года)</w:t>
            </w:r>
          </w:p>
          <w:p w:rsidR="00063EC0" w:rsidRDefault="001D46D7" w:rsidP="0006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2078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(до 2021 года)</w:t>
            </w:r>
          </w:p>
          <w:p w:rsidR="002679B8" w:rsidRPr="00063EC0" w:rsidRDefault="002679B8" w:rsidP="0026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жилищно-коммунального хозяйства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C0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505DC9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0D5BC9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063EC0" w:rsidRPr="00063EC0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CB3D7C" w:rsidRPr="00B8132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1E4" w:rsidRDefault="008C31E4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беспечение реализации программ и мероприятий, направленных на улучшение внешнего облика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CA072C" w:rsidRPr="00B1532F" w:rsidRDefault="00CA072C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оздание условий для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формирования эффективной структуры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муниципального имущества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, а также оптимизация размещения рекламных конструкций на территории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1D46D7" w:rsidRPr="00B1532F" w:rsidRDefault="00CA072C" w:rsidP="00B153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беспечение </w:t>
            </w:r>
            <w:proofErr w:type="gramStart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целевым использованием муниципального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03531F" w:rsidRDefault="001D46D7" w:rsidP="0082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</w:t>
            </w:r>
            <w:r w:rsidR="00824A8E"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</w:t>
            </w: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F3A" w:rsidRPr="00810F3A" w:rsidRDefault="001D46D7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1 37</w:t>
            </w:r>
            <w:r w:rsidR="00146B7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0 817,80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. рублей, </w:t>
            </w:r>
            <w:r w:rsidR="00810F3A"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источникам финансирования:</w:t>
            </w:r>
          </w:p>
          <w:p w:rsidR="00810F3A" w:rsidRPr="00810F3A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областной бюджет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</w:t>
            </w:r>
            <w:r w:rsidR="00146B7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909,03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810F3A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бюджет городского округа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1 36</w:t>
            </w:r>
            <w:r w:rsidR="00146B7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3 908,77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1D46D7" w:rsidRPr="0003531F" w:rsidRDefault="001D46D7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годам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810F3A"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реализации муниципальной программы: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2014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810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513 841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2015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810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43 619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2016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79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966,37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2017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75 857,3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2018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D721E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116 192,7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2019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91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335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CD319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рублей;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020 год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114 923 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рублей, в том числе по источникам финансирования: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областной </w:t>
            </w:r>
            <w:r w:rsidRPr="006A63E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6 000 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 – 108 923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810F3A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021 год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46B76" w:rsidRPr="00146B76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всего –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112 348,93</w:t>
            </w: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146B76" w:rsidRPr="00146B76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областной бюджет –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909,03</w:t>
            </w: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 тыс. рублей;</w:t>
            </w:r>
          </w:p>
          <w:p w:rsidR="00146B76" w:rsidRPr="00146B76" w:rsidRDefault="00146B76" w:rsidP="00146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 xml:space="preserve">бюджет городского округа –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111 439,9</w:t>
            </w:r>
            <w:r w:rsidRPr="00146B76">
              <w:rPr>
                <w:rFonts w:ascii="Times New Roman" w:eastAsiaTheme="minorHAnsi" w:hAnsi="Times New Roman"/>
                <w:sz w:val="28"/>
                <w:szCs w:val="28"/>
              </w:rPr>
              <w:t> тыс. рублей;</w:t>
            </w:r>
          </w:p>
          <w:p w:rsidR="00810F3A" w:rsidRDefault="003B5DEF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2022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03531F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73 140</w:t>
            </w:r>
            <w:r w:rsidR="00F05918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рублей;</w:t>
            </w:r>
          </w:p>
          <w:p w:rsidR="00810F3A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2023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03531F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74 797</w:t>
            </w:r>
            <w:r w:rsidR="00F05918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рублей;</w:t>
            </w:r>
          </w:p>
          <w:p w:rsidR="00EF442A" w:rsidRDefault="00F77149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2024 год</w:t>
            </w:r>
            <w:r w:rsidR="00EF442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CB3D7C" w:rsidRPr="0003531F" w:rsidRDefault="00EF442A" w:rsidP="00EF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F7714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74 797</w:t>
            </w:r>
            <w:r w:rsidR="00F77149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7714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72C" w:rsidRPr="00CA1F1A" w:rsidRDefault="00CA072C" w:rsidP="00F77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CA072C" w:rsidRDefault="00CA072C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 сокращение путем демонтажа количества рекламных конструкций, незаконно установленных и (или) эксплуатируемых на территории городско</w:t>
            </w:r>
            <w:r w:rsidR="003B121D">
              <w:rPr>
                <w:rFonts w:ascii="Times New Roman" w:hAnsi="Times New Roman"/>
                <w:sz w:val="28"/>
                <w:szCs w:val="28"/>
              </w:rPr>
              <w:t xml:space="preserve">го округа город Воронеж, на </w:t>
            </w:r>
            <w:r w:rsidR="003B121D" w:rsidRPr="00733876">
              <w:rPr>
                <w:rFonts w:ascii="Times New Roman" w:hAnsi="Times New Roman"/>
                <w:sz w:val="28"/>
                <w:szCs w:val="28"/>
              </w:rPr>
              <w:t>2 7</w:t>
            </w:r>
            <w:r w:rsidR="00733876">
              <w:rPr>
                <w:rFonts w:ascii="Times New Roman" w:hAnsi="Times New Roman"/>
                <w:sz w:val="28"/>
                <w:szCs w:val="28"/>
              </w:rPr>
              <w:t>39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единиц к 2024 году;</w:t>
            </w:r>
          </w:p>
          <w:p w:rsidR="00AA7E0E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E84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4A34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F77149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AA7E0E" w:rsidRPr="00CA1F1A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r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32A97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4A34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505DC9" w:rsidRPr="0003531F" w:rsidRDefault="00CA072C" w:rsidP="00FD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поступления денежных сре</w:t>
            </w:r>
            <w:proofErr w:type="gramStart"/>
            <w:r w:rsidRPr="00CA1F1A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      </w:r>
            <w:proofErr w:type="spellStart"/>
            <w:r w:rsidRPr="00CA1F1A"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-исковой работы в размере </w:t>
            </w:r>
            <w:r w:rsidRPr="00FD35F3">
              <w:rPr>
                <w:rFonts w:ascii="Times New Roman" w:hAnsi="Times New Roman"/>
                <w:sz w:val="28"/>
                <w:szCs w:val="28"/>
              </w:rPr>
              <w:t>6</w:t>
            </w:r>
            <w:r w:rsidR="00FD35F3" w:rsidRPr="00FD35F3">
              <w:rPr>
                <w:rFonts w:ascii="Times New Roman" w:hAnsi="Times New Roman"/>
                <w:sz w:val="28"/>
                <w:szCs w:val="28"/>
              </w:rPr>
              <w:t>6</w:t>
            </w:r>
            <w:r w:rsidR="00E84A34" w:rsidRPr="00FD35F3">
              <w:rPr>
                <w:rFonts w:ascii="Times New Roman" w:hAnsi="Times New Roman"/>
                <w:sz w:val="28"/>
                <w:szCs w:val="28"/>
              </w:rPr>
              <w:t>4</w:t>
            </w:r>
            <w:r w:rsidRPr="00FD35F3">
              <w:rPr>
                <w:rFonts w:ascii="Times New Roman" w:hAnsi="Times New Roman"/>
                <w:sz w:val="28"/>
                <w:szCs w:val="28"/>
              </w:rPr>
              <w:t> </w:t>
            </w:r>
            <w:r w:rsidR="00FD35F3" w:rsidRPr="00FD35F3">
              <w:rPr>
                <w:rFonts w:ascii="Times New Roman" w:hAnsi="Times New Roman"/>
                <w:sz w:val="28"/>
                <w:szCs w:val="28"/>
              </w:rPr>
              <w:t>844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за период с 2019 года по</w:t>
            </w:r>
            <w:r w:rsidR="00F77149">
              <w:rPr>
                <w:rFonts w:ascii="Times New Roman" w:hAnsi="Times New Roman"/>
                <w:sz w:val="28"/>
                <w:szCs w:val="28"/>
              </w:rPr>
              <w:t xml:space="preserve"> 2024 год</w:t>
            </w:r>
          </w:p>
        </w:tc>
      </w:tr>
    </w:tbl>
    <w:p w:rsidR="00001714" w:rsidRDefault="00001714" w:rsidP="008623A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  <w:bookmarkStart w:id="2" w:name="Par95"/>
      <w:bookmarkEnd w:id="2"/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ПРИОРИТЕТЫ МУНИЦИПАЛЬНОЙ ПОЛИТИКИ В СФЕРЕ</w:t>
      </w:r>
    </w:p>
    <w:p w:rsidR="001D46D7" w:rsidRDefault="001D46D7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B3D7C" w:rsidRPr="00CB3D7C" w:rsidRDefault="00CB3D7C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16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</w:t>
      </w:r>
      <w:r w:rsidR="00171BCB">
        <w:rPr>
          <w:rFonts w:ascii="Times New Roman" w:hAnsi="Times New Roman"/>
          <w:sz w:val="28"/>
          <w:szCs w:val="28"/>
          <w:lang w:eastAsia="ru-RU"/>
        </w:rPr>
        <w:t xml:space="preserve">ой Думы от 14.07.2010 № 147-III,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Стратег</w:t>
      </w:r>
      <w:r w:rsidR="00307208">
        <w:rPr>
          <w:rFonts w:ascii="Times New Roman" w:hAnsi="Times New Roman"/>
          <w:sz w:val="28"/>
          <w:szCs w:val="28"/>
          <w:lang w:eastAsia="ru-RU"/>
        </w:rPr>
        <w:t xml:space="preserve">ией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город Воронеж на п</w:t>
      </w:r>
      <w:r w:rsidR="00307208">
        <w:rPr>
          <w:rFonts w:ascii="Times New Roman" w:hAnsi="Times New Roman"/>
          <w:sz w:val="28"/>
          <w:szCs w:val="28"/>
          <w:lang w:eastAsia="ru-RU"/>
        </w:rPr>
        <w:t>ериод до 2035 года, утвержденной</w:t>
      </w:r>
      <w:proofErr w:type="gramEnd"/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решением Воронежской городской Думы от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9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12.2018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F77149">
        <w:rPr>
          <w:rFonts w:ascii="Times New Roman" w:hAnsi="Times New Roman"/>
          <w:sz w:val="28"/>
          <w:szCs w:val="28"/>
          <w:lang w:eastAsia="ru-RU"/>
        </w:rPr>
        <w:t> 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032-I</w:t>
      </w:r>
      <w:r w:rsidR="00EE62C2" w:rsidRPr="00EE62C2">
        <w:rPr>
          <w:rFonts w:ascii="Times New Roman" w:hAnsi="Times New Roman"/>
          <w:sz w:val="28"/>
          <w:szCs w:val="28"/>
          <w:lang w:val="en-US" w:eastAsia="ru-RU"/>
        </w:rPr>
        <w:t>V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5D1E89" w:rsidRPr="005D1E89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>беспечение реализации программ и мероприятий, направленных на улучшение внешнего облика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D3B55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оздание условий для </w:t>
      </w:r>
      <w:r w:rsidR="001D3B55">
        <w:rPr>
          <w:rFonts w:ascii="Times New Roman" w:eastAsiaTheme="minorHAnsi" w:hAnsi="Times New Roman"/>
          <w:sz w:val="28"/>
          <w:szCs w:val="28"/>
        </w:rPr>
        <w:t>формирования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эффективной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структуры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муниципального имущества</w:t>
      </w:r>
      <w:r w:rsidRPr="005D1E89">
        <w:rPr>
          <w:rFonts w:ascii="Times New Roman" w:eastAsiaTheme="minorHAnsi" w:hAnsi="Times New Roman"/>
          <w:sz w:val="28"/>
          <w:szCs w:val="28"/>
        </w:rPr>
        <w:t>, а также 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="001D3B55" w:rsidRPr="001D3B5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46436" w:rsidRPr="00AA7E0E" w:rsidRDefault="005D1E89" w:rsidP="00AA7E0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беспечение </w:t>
      </w:r>
      <w:proofErr w:type="gramStart"/>
      <w:r w:rsidRPr="005D1E89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5D1E89">
        <w:rPr>
          <w:rFonts w:ascii="Times New Roman" w:eastAsiaTheme="minorHAnsi" w:hAnsi="Times New Roman"/>
          <w:sz w:val="28"/>
          <w:szCs w:val="28"/>
        </w:rPr>
        <w:t xml:space="preserve"> целевым использованием муниципального имущества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1208">
        <w:rPr>
          <w:rFonts w:ascii="Times New Roman" w:eastAsiaTheme="minorHAnsi" w:hAnsi="Times New Roman"/>
          <w:sz w:val="28"/>
          <w:szCs w:val="28"/>
          <w:lang w:eastAsia="ru-RU"/>
        </w:rPr>
        <w:t>Показателем (индикатором)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</w:t>
      </w:r>
      <w:r w:rsidR="00EF4282">
        <w:rPr>
          <w:rFonts w:ascii="Times New Roman" w:hAnsi="Times New Roman"/>
          <w:sz w:val="28"/>
          <w:szCs w:val="28"/>
        </w:rPr>
        <w:t xml:space="preserve"> (индикатора)</w:t>
      </w:r>
      <w:r w:rsidRPr="00E940ED">
        <w:rPr>
          <w:rFonts w:ascii="Times New Roman" w:hAnsi="Times New Roman"/>
          <w:sz w:val="28"/>
          <w:szCs w:val="28"/>
        </w:rPr>
        <w:t xml:space="preserve">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F77149" w:rsidRDefault="001D46D7" w:rsidP="00F7714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149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  <w:r w:rsidR="00F77149" w:rsidRPr="00F77149">
        <w:rPr>
          <w:rFonts w:ascii="Times New Roman" w:hAnsi="Times New Roman"/>
          <w:sz w:val="28"/>
          <w:szCs w:val="28"/>
        </w:rPr>
        <w:t xml:space="preserve"> </w:t>
      </w:r>
      <w:r w:rsidRPr="00F77149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E940ED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03531F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</w:t>
      </w:r>
      <w:r w:rsidR="009E3E76">
        <w:rPr>
          <w:rFonts w:ascii="Times New Roman" w:hAnsi="Times New Roman"/>
          <w:sz w:val="28"/>
          <w:szCs w:val="28"/>
        </w:rPr>
        <w:t xml:space="preserve">;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0683D" w:rsidRPr="00E0683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F80D6D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="00F80D6D" w:rsidRPr="0003531F">
        <w:rPr>
          <w:rFonts w:ascii="Times New Roman" w:hAnsi="Times New Roman"/>
          <w:sz w:val="28"/>
          <w:szCs w:val="28"/>
        </w:rPr>
        <w:t>к</w:t>
      </w:r>
      <w:r w:rsidRPr="0003531F">
        <w:rPr>
          <w:rFonts w:ascii="Times New Roman" w:hAnsi="Times New Roman"/>
          <w:sz w:val="28"/>
          <w:szCs w:val="28"/>
        </w:rPr>
        <w:t xml:space="preserve">оличество объектов недвижимости, </w:t>
      </w:r>
      <w:r w:rsidR="00F80D6D" w:rsidRPr="0003531F">
        <w:rPr>
          <w:rFonts w:ascii="Times New Roman" w:hAnsi="Times New Roman"/>
          <w:sz w:val="28"/>
          <w:szCs w:val="28"/>
        </w:rPr>
        <w:t xml:space="preserve">утвержденное в соответствии с 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>ежегодным планом</w:t>
      </w:r>
      <w:r w:rsidR="004B1E40" w:rsidRPr="0003531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 xml:space="preserve"> государственной регистрации объектов недвижимого имущества</w:t>
      </w:r>
      <w:r w:rsidR="00F80D6D" w:rsidRPr="0003531F">
        <w:rPr>
          <w:rFonts w:ascii="Times New Roman" w:hAnsi="Times New Roman"/>
          <w:sz w:val="28"/>
          <w:szCs w:val="28"/>
        </w:rPr>
        <w:t xml:space="preserve">, вещные права, которые подлежат оформлению в соответствии с Федеральным </w:t>
      </w:r>
      <w:hyperlink r:id="rId9" w:history="1">
        <w:r w:rsidR="00F80D6D" w:rsidRPr="0003531F">
          <w:rPr>
            <w:rFonts w:ascii="Times New Roman" w:hAnsi="Times New Roman"/>
            <w:sz w:val="28"/>
            <w:szCs w:val="28"/>
          </w:rPr>
          <w:t>законом</w:t>
        </w:r>
      </w:hyperlink>
      <w:r w:rsidR="00F80D6D" w:rsidRPr="0003531F">
        <w:rPr>
          <w:rFonts w:ascii="Times New Roman" w:hAnsi="Times New Roman"/>
          <w:sz w:val="28"/>
          <w:szCs w:val="28"/>
        </w:rPr>
        <w:t xml:space="preserve"> от 13.0</w:t>
      </w:r>
      <w:r w:rsidR="006B25F6">
        <w:rPr>
          <w:rFonts w:ascii="Times New Roman" w:hAnsi="Times New Roman"/>
          <w:sz w:val="28"/>
          <w:szCs w:val="28"/>
        </w:rPr>
        <w:t>7.2015 №</w:t>
      </w:r>
      <w:r w:rsidR="00F80D6D" w:rsidRPr="0003531F">
        <w:rPr>
          <w:rFonts w:ascii="Times New Roman" w:hAnsi="Times New Roman"/>
          <w:sz w:val="28"/>
          <w:szCs w:val="28"/>
        </w:rPr>
        <w:t xml:space="preserve"> 218-ФЗ «О государственной регистрации недвижимости» (шт.).</w:t>
      </w:r>
      <w:r w:rsidR="009E3E76">
        <w:rPr>
          <w:rFonts w:ascii="Times New Roman" w:hAnsi="Times New Roman"/>
          <w:sz w:val="28"/>
          <w:szCs w:val="28"/>
        </w:rPr>
        <w:t xml:space="preserve">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1.2. Доля земельных участков, на которые зарегистрировано право собственности городского округа город Воронеж.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Единица измерения – %.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03531F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* 100%, где:</w:t>
      </w:r>
    </w:p>
    <w:p w:rsidR="004265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– доля земельных участков, на которые зарегистрировано право собственности </w:t>
      </w:r>
      <w:r w:rsidR="00C93570">
        <w:rPr>
          <w:rFonts w:ascii="Times New Roman" w:hAnsi="Times New Roman"/>
          <w:sz w:val="28"/>
          <w:szCs w:val="28"/>
        </w:rPr>
        <w:t>городского округа город Воронеж;</w:t>
      </w:r>
      <w:r w:rsidRPr="0003531F">
        <w:rPr>
          <w:rFonts w:ascii="Times New Roman" w:hAnsi="Times New Roman"/>
          <w:sz w:val="28"/>
          <w:szCs w:val="28"/>
        </w:rPr>
        <w:t xml:space="preserve"> </w:t>
      </w:r>
    </w:p>
    <w:p w:rsidR="008623AE" w:rsidRPr="004D631A" w:rsidRDefault="001D46D7" w:rsidP="00F77149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  <w:r w:rsidR="00F77149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 по состоянию на конец отчетного периода (шт.);</w:t>
      </w:r>
    </w:p>
    <w:p w:rsidR="008623AE" w:rsidRPr="004D631A" w:rsidRDefault="001D46D7" w:rsidP="004D63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D41BF1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Pr="0003531F">
        <w:rPr>
          <w:rFonts w:ascii="Times New Roman" w:hAnsi="Times New Roman"/>
          <w:sz w:val="28"/>
          <w:szCs w:val="28"/>
        </w:rPr>
        <w:t xml:space="preserve">количество земельных участков, </w:t>
      </w:r>
      <w:r w:rsidR="00D41BF1" w:rsidRPr="0003531F">
        <w:rPr>
          <w:rFonts w:ascii="Times New Roman" w:hAnsi="Times New Roman"/>
          <w:sz w:val="28"/>
          <w:szCs w:val="28"/>
        </w:rPr>
        <w:t>утвержденное в соответствии с ежегодным планом проведения мероприятий по оформлению земельных участков в муниципальную собственность за счет средств городского бюджета в отчетном году (шт.).</w:t>
      </w:r>
      <w:r w:rsidR="00C93570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E940ED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E940ED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</w:t>
      </w:r>
      <w:r w:rsidR="00437EB9">
        <w:rPr>
          <w:rFonts w:ascii="Times New Roman" w:hAnsi="Times New Roman"/>
          <w:sz w:val="28"/>
          <w:szCs w:val="28"/>
        </w:rPr>
        <w:t xml:space="preserve">на </w:t>
      </w:r>
      <w:r w:rsidRPr="00C30213">
        <w:rPr>
          <w:rFonts w:ascii="Times New Roman" w:hAnsi="Times New Roman"/>
          <w:sz w:val="28"/>
          <w:szCs w:val="28"/>
        </w:rPr>
        <w:t>объект</w:t>
      </w:r>
      <w:r w:rsidR="00437EB9">
        <w:rPr>
          <w:rFonts w:ascii="Times New Roman" w:hAnsi="Times New Roman"/>
          <w:sz w:val="28"/>
          <w:szCs w:val="28"/>
        </w:rPr>
        <w:t>ы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437EB9">
        <w:rPr>
          <w:rFonts w:ascii="Times New Roman" w:hAnsi="Times New Roman"/>
          <w:sz w:val="28"/>
          <w:szCs w:val="28"/>
        </w:rPr>
        <w:t>капитального строительства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0683D" w:rsidRPr="004D631A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E66611">
        <w:rPr>
          <w:rFonts w:ascii="Times New Roman" w:hAnsi="Times New Roman"/>
          <w:sz w:val="28"/>
          <w:szCs w:val="28"/>
        </w:rPr>
        <w:t>(</w:t>
      </w:r>
      <w:r w:rsidRPr="00C30213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C30213">
        <w:rPr>
          <w:rFonts w:ascii="Times New Roman" w:hAnsi="Times New Roman"/>
          <w:sz w:val="28"/>
          <w:szCs w:val="28"/>
        </w:rPr>
        <w:t xml:space="preserve"> – отчетные данные управления главного архитектора администрации городского округа город Воронеж</w:t>
      </w:r>
      <w:r w:rsidR="00EF4282">
        <w:rPr>
          <w:rFonts w:ascii="Times New Roman" w:hAnsi="Times New Roman"/>
          <w:sz w:val="28"/>
          <w:szCs w:val="28"/>
        </w:rPr>
        <w:t xml:space="preserve"> </w:t>
      </w:r>
      <w:r w:rsidR="00EF4282">
        <w:rPr>
          <w:rFonts w:ascii="Times New Roman" w:hAnsi="Times New Roman"/>
          <w:sz w:val="28"/>
          <w:szCs w:val="28"/>
          <w:lang w:eastAsia="ru-RU"/>
        </w:rPr>
        <w:t>(до 2018 года)</w:t>
      </w:r>
      <w:r w:rsidR="00E0683D">
        <w:rPr>
          <w:rFonts w:ascii="Times New Roman" w:hAnsi="Times New Roman"/>
          <w:sz w:val="28"/>
          <w:szCs w:val="28"/>
        </w:rPr>
        <w:t xml:space="preserve"> и </w:t>
      </w:r>
      <w:r w:rsidR="00E0683D" w:rsidRPr="00E940ED">
        <w:rPr>
          <w:rFonts w:ascii="Times New Roman" w:hAnsi="Times New Roman"/>
          <w:sz w:val="28"/>
          <w:szCs w:val="28"/>
        </w:rPr>
        <w:t xml:space="preserve">управления имущественных и земельных отношений </w:t>
      </w:r>
      <w:r w:rsidR="00E0683D">
        <w:rPr>
          <w:rFonts w:ascii="Times New Roman" w:hAnsi="Times New Roman"/>
          <w:sz w:val="28"/>
          <w:szCs w:val="28"/>
        </w:rPr>
        <w:t xml:space="preserve">администрации </w:t>
      </w:r>
      <w:r w:rsidR="00E0683D" w:rsidRPr="00E940ED">
        <w:rPr>
          <w:rFonts w:ascii="Times New Roman" w:hAnsi="Times New Roman"/>
          <w:sz w:val="28"/>
          <w:szCs w:val="28"/>
        </w:rPr>
        <w:t>городского округа город Воронеж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7B5B6B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1.6.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объектов недвижимости, на которые зарегистрировано право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</w:t>
      </w:r>
      <w:r w:rsidR="00DB1A66">
        <w:rPr>
          <w:rFonts w:ascii="Times New Roman" w:hAnsi="Times New Roman"/>
          <w:sz w:val="28"/>
          <w:szCs w:val="28"/>
        </w:rPr>
        <w:t xml:space="preserve"> </w:t>
      </w:r>
      <w:r w:rsidRPr="000E7055">
        <w:rPr>
          <w:rFonts w:ascii="Times New Roman" w:hAnsi="Times New Roman"/>
          <w:sz w:val="28"/>
          <w:szCs w:val="28"/>
        </w:rPr>
        <w:t>данные управления имущественных и земельных отношений администрации городского округа город Воронеж.</w:t>
      </w:r>
    </w:p>
    <w:p w:rsidR="0059349C" w:rsidRP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земельных участков, на которые зарегистрировано право собственности городского округа город Воронеж.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B46436" w:rsidRPr="0059349C" w:rsidRDefault="0059349C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B46436" w:rsidRDefault="00E13F3A" w:rsidP="00B4643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Показателями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индикаторами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2 муниципальной программы являю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>ения – ед.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Поступление денежных средств за использование земельных участков,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</w:t>
      </w:r>
      <w:r>
        <w:rPr>
          <w:rFonts w:ascii="Times New Roman" w:hAnsi="Times New Roman"/>
          <w:sz w:val="28"/>
          <w:szCs w:val="28"/>
        </w:rPr>
        <w:t xml:space="preserve"> расположен</w:t>
      </w:r>
      <w:r w:rsidR="00E7702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</w:t>
      </w:r>
      <w:r w:rsidR="00951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 xml:space="preserve">ения – </w:t>
      </w:r>
      <w:r>
        <w:rPr>
          <w:rFonts w:ascii="Times New Roman" w:hAnsi="Times New Roman"/>
          <w:sz w:val="28"/>
          <w:szCs w:val="28"/>
        </w:rPr>
        <w:t>тыс. руб</w:t>
      </w:r>
      <w:r w:rsidR="00F463E2">
        <w:rPr>
          <w:rFonts w:ascii="Times New Roman" w:hAnsi="Times New Roman"/>
          <w:sz w:val="28"/>
          <w:szCs w:val="28"/>
        </w:rPr>
        <w:t>лей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Pr="0081144C" w:rsidRDefault="00AA70B5" w:rsidP="0081144C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B46436" w:rsidRPr="00AA7E0E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F5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и их значениях приведены в </w:t>
      </w:r>
      <w:hyperlink r:id="rId10" w:history="1">
        <w:r w:rsidRPr="00920F54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920F54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80">
        <w:rPr>
          <w:rFonts w:ascii="Times New Roman" w:hAnsi="Times New Roman"/>
          <w:sz w:val="28"/>
          <w:szCs w:val="28"/>
        </w:rPr>
        <w:t xml:space="preserve">По итогам реализации муниципальной программы планируется достичь следующих </w:t>
      </w:r>
      <w:r w:rsidR="00CA072C">
        <w:rPr>
          <w:rFonts w:ascii="Times New Roman" w:hAnsi="Times New Roman"/>
          <w:sz w:val="28"/>
          <w:szCs w:val="28"/>
        </w:rPr>
        <w:t xml:space="preserve">основных </w:t>
      </w:r>
      <w:r w:rsidRPr="005A5A80">
        <w:rPr>
          <w:rFonts w:ascii="Times New Roman" w:hAnsi="Times New Roman"/>
          <w:sz w:val="28"/>
          <w:szCs w:val="28"/>
        </w:rPr>
        <w:t>результатов:</w:t>
      </w:r>
    </w:p>
    <w:p w:rsidR="00CA1F1A" w:rsidRPr="00CA1F1A" w:rsidRDefault="00CA1F1A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CA1F1A" w:rsidRDefault="00CA1F1A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 xml:space="preserve"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</w:t>
      </w:r>
      <w:r w:rsidRPr="00733876">
        <w:rPr>
          <w:rFonts w:ascii="Times New Roman" w:hAnsi="Times New Roman"/>
          <w:sz w:val="28"/>
          <w:szCs w:val="28"/>
        </w:rPr>
        <w:t xml:space="preserve">2 </w:t>
      </w:r>
      <w:r w:rsidR="00A72CA1" w:rsidRPr="00733876">
        <w:rPr>
          <w:rFonts w:ascii="Times New Roman" w:hAnsi="Times New Roman"/>
          <w:sz w:val="28"/>
          <w:szCs w:val="28"/>
        </w:rPr>
        <w:t>7</w:t>
      </w:r>
      <w:r w:rsidR="00733876">
        <w:rPr>
          <w:rFonts w:ascii="Times New Roman" w:hAnsi="Times New Roman"/>
          <w:sz w:val="28"/>
          <w:szCs w:val="28"/>
        </w:rPr>
        <w:t>39</w:t>
      </w:r>
      <w:r w:rsidRPr="00CA1F1A">
        <w:rPr>
          <w:rFonts w:ascii="Times New Roman" w:hAnsi="Times New Roman"/>
          <w:sz w:val="28"/>
          <w:szCs w:val="28"/>
        </w:rPr>
        <w:t xml:space="preserve"> единиц к 2024 году;</w:t>
      </w:r>
    </w:p>
    <w:p w:rsidR="008C1FB2" w:rsidRDefault="008C1FB2" w:rsidP="00B4643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недвижимости, на которые зарегистрировано право собственности городского округа город Воронеж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14 </w:t>
      </w:r>
      <w:r w:rsidR="00733876">
        <w:rPr>
          <w:rFonts w:ascii="Times New Roman" w:eastAsia="Times New Roman" w:hAnsi="Times New Roman"/>
          <w:sz w:val="28"/>
          <w:szCs w:val="28"/>
          <w:lang w:eastAsia="ru-RU"/>
        </w:rPr>
        <w:t>460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486679" w:rsidRP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(по состоянию на 01.09.2019 зарегистрировано 12 445 ед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1FB2" w:rsidRPr="00CA1F1A" w:rsidRDefault="008C1FB2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на которые зарегистрировано право собственности городского округа город Воронеж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7338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84A34" w:rsidRPr="00733876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="0073387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486679" w:rsidRP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(по состоянию</w:t>
      </w:r>
      <w:r w:rsidR="00F80BEA" w:rsidRPr="00733876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01.09.2019 зарегистрировано</w:t>
      </w:r>
      <w:r w:rsidR="00002F02" w:rsidRPr="007338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967 ед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1F1A" w:rsidRDefault="00CA1F1A" w:rsidP="00CA1F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поступления денежных сре</w:t>
      </w:r>
      <w:proofErr w:type="gramStart"/>
      <w:r w:rsidRPr="00CA1F1A">
        <w:rPr>
          <w:rFonts w:ascii="Times New Roman" w:hAnsi="Times New Roman"/>
          <w:sz w:val="28"/>
          <w:szCs w:val="28"/>
        </w:rPr>
        <w:t>дств в б</w:t>
      </w:r>
      <w:proofErr w:type="gramEnd"/>
      <w:r w:rsidRPr="00CA1F1A">
        <w:rPr>
          <w:rFonts w:ascii="Times New Roman" w:hAnsi="Times New Roman"/>
          <w:sz w:val="28"/>
          <w:szCs w:val="28"/>
        </w:rPr>
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</w:r>
      <w:proofErr w:type="spellStart"/>
      <w:r w:rsidRPr="00CA1F1A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CA1F1A">
        <w:rPr>
          <w:rFonts w:ascii="Times New Roman" w:hAnsi="Times New Roman"/>
          <w:sz w:val="28"/>
          <w:szCs w:val="28"/>
        </w:rPr>
        <w:t xml:space="preserve">-исковой работы в размере </w:t>
      </w:r>
      <w:r w:rsidRPr="00FD35F3">
        <w:rPr>
          <w:rFonts w:ascii="Times New Roman" w:hAnsi="Times New Roman"/>
          <w:sz w:val="28"/>
          <w:szCs w:val="28"/>
        </w:rPr>
        <w:t>6</w:t>
      </w:r>
      <w:r w:rsidR="00FD35F3" w:rsidRPr="00FD35F3">
        <w:rPr>
          <w:rFonts w:ascii="Times New Roman" w:hAnsi="Times New Roman"/>
          <w:sz w:val="28"/>
          <w:szCs w:val="28"/>
        </w:rPr>
        <w:t>6</w:t>
      </w:r>
      <w:r w:rsidR="00E84A34" w:rsidRPr="00FD35F3">
        <w:rPr>
          <w:rFonts w:ascii="Times New Roman" w:hAnsi="Times New Roman"/>
          <w:sz w:val="28"/>
          <w:szCs w:val="28"/>
        </w:rPr>
        <w:t>4</w:t>
      </w:r>
      <w:r w:rsidRPr="00FD35F3">
        <w:rPr>
          <w:rFonts w:ascii="Times New Roman" w:hAnsi="Times New Roman"/>
          <w:sz w:val="28"/>
          <w:szCs w:val="28"/>
        </w:rPr>
        <w:t> </w:t>
      </w:r>
      <w:r w:rsidR="00FD35F3" w:rsidRPr="00FD35F3">
        <w:rPr>
          <w:rFonts w:ascii="Times New Roman" w:hAnsi="Times New Roman"/>
          <w:sz w:val="28"/>
          <w:szCs w:val="28"/>
        </w:rPr>
        <w:t>84</w:t>
      </w:r>
      <w:r w:rsidR="00E84A34" w:rsidRPr="00FD35F3">
        <w:rPr>
          <w:rFonts w:ascii="Times New Roman" w:hAnsi="Times New Roman"/>
          <w:sz w:val="28"/>
          <w:szCs w:val="28"/>
        </w:rPr>
        <w:t>4</w:t>
      </w:r>
      <w:r w:rsidRPr="00CA1F1A">
        <w:rPr>
          <w:rFonts w:ascii="Times New Roman" w:hAnsi="Times New Roman"/>
          <w:sz w:val="28"/>
          <w:szCs w:val="28"/>
        </w:rPr>
        <w:t xml:space="preserve"> тыс. рублей </w:t>
      </w:r>
      <w:r w:rsidR="00CA072C">
        <w:rPr>
          <w:rFonts w:ascii="Times New Roman" w:hAnsi="Times New Roman"/>
          <w:sz w:val="28"/>
          <w:szCs w:val="28"/>
        </w:rPr>
        <w:t>за период с 2019 года по</w:t>
      </w:r>
      <w:r w:rsidRPr="00CA1F1A">
        <w:rPr>
          <w:rFonts w:ascii="Times New Roman" w:hAnsi="Times New Roman"/>
          <w:sz w:val="28"/>
          <w:szCs w:val="28"/>
        </w:rPr>
        <w:t xml:space="preserve"> 2024 год.</w:t>
      </w:r>
    </w:p>
    <w:p w:rsidR="001A1777" w:rsidRPr="002F7527" w:rsidRDefault="001D46D7" w:rsidP="00CA1F1A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Срок реализации муниципальной программы ра</w:t>
      </w:r>
      <w:r w:rsidR="00D9726A" w:rsidRPr="0003531F">
        <w:rPr>
          <w:rFonts w:ascii="Times New Roman" w:hAnsi="Times New Roman"/>
          <w:sz w:val="28"/>
          <w:szCs w:val="28"/>
        </w:rPr>
        <w:t>ссчитан на период с 2014 по 2024</w:t>
      </w:r>
      <w:r w:rsidRPr="0003531F">
        <w:rPr>
          <w:rFonts w:ascii="Times New Roman" w:hAnsi="Times New Roman"/>
          <w:sz w:val="28"/>
          <w:szCs w:val="28"/>
        </w:rPr>
        <w:t xml:space="preserve"> год, один этап.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10"/>
          <w:szCs w:val="28"/>
          <w:lang w:eastAsia="ru-RU"/>
        </w:rPr>
      </w:pPr>
    </w:p>
    <w:p w:rsidR="001D46D7" w:rsidRPr="00E940ED" w:rsidRDefault="0003531F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ОБОБЩЕННАЯ ХАРАКТЕРИСТИКА ПОДПРОГРАММ</w:t>
      </w:r>
    </w:p>
    <w:p w:rsidR="001D46D7" w:rsidRPr="00AA7E0E" w:rsidRDefault="001D46D7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F77149" w:rsidRPr="00235A61" w:rsidRDefault="00F77149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D46D7" w:rsidRDefault="001D46D7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="00235A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0D5BC9" w:rsidP="001D46D7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</w:t>
      </w:r>
      <w:r w:rsidR="00E347B5">
        <w:rPr>
          <w:rFonts w:ascii="Times New Roman" w:hAnsi="Times New Roman"/>
          <w:sz w:val="28"/>
          <w:szCs w:val="28"/>
        </w:rPr>
        <w:t>.</w:t>
      </w:r>
      <w:r w:rsidR="004D3ACA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</w:t>
      </w:r>
      <w:r w:rsidR="00824A8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A1DF4">
        <w:rPr>
          <w:rFonts w:ascii="Times New Roman" w:hAnsi="Times New Roman"/>
          <w:sz w:val="28"/>
          <w:szCs w:val="28"/>
        </w:rPr>
        <w:t>, штраф</w:t>
      </w:r>
      <w:r w:rsidR="00E76EBA">
        <w:rPr>
          <w:rFonts w:ascii="Times New Roman" w:hAnsi="Times New Roman"/>
          <w:sz w:val="28"/>
          <w:szCs w:val="28"/>
        </w:rPr>
        <w:t>ов</w:t>
      </w:r>
      <w:r w:rsidR="00CA1DF4">
        <w:rPr>
          <w:rFonts w:ascii="Times New Roman" w:hAnsi="Times New Roman"/>
          <w:sz w:val="28"/>
          <w:szCs w:val="28"/>
        </w:rPr>
        <w:t xml:space="preserve"> и пени по ним</w:t>
      </w:r>
      <w:r w:rsidR="00824A8E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 w:rsidRPr="00E940ED">
        <w:rPr>
          <w:rFonts w:ascii="Times New Roman" w:hAnsi="Times New Roman"/>
          <w:sz w:val="28"/>
          <w:szCs w:val="28"/>
        </w:rPr>
        <w:t>,</w:t>
      </w:r>
      <w:r w:rsidR="00F80BEA" w:rsidRPr="00F80BEA">
        <w:rPr>
          <w:rFonts w:ascii="Times New Roman" w:hAnsi="Times New Roman"/>
          <w:sz w:val="28"/>
          <w:szCs w:val="28"/>
        </w:rPr>
        <w:t xml:space="preserve"> </w:t>
      </w:r>
      <w:r w:rsidR="00F80BEA"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824A8E" w:rsidRPr="00E347B5" w:rsidRDefault="001D46D7" w:rsidP="00E347B5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осуществляет</w:t>
      </w:r>
      <w:r w:rsidR="00E347B5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Pr="0003531F">
        <w:rPr>
          <w:rFonts w:ascii="Times New Roman" w:hAnsi="Times New Roman"/>
          <w:spacing w:val="8"/>
          <w:sz w:val="28"/>
          <w:szCs w:val="28"/>
        </w:rPr>
        <w:t>при реализации муниципаль</w:t>
      </w:r>
      <w:r w:rsidR="00824A8E" w:rsidRPr="0003531F">
        <w:rPr>
          <w:rFonts w:ascii="Times New Roman" w:hAnsi="Times New Roman"/>
          <w:spacing w:val="8"/>
          <w:sz w:val="28"/>
          <w:szCs w:val="28"/>
        </w:rPr>
        <w:t>ного имущества физическим лицам</w:t>
      </w:r>
      <w:r w:rsidR="00651674">
        <w:rPr>
          <w:rFonts w:ascii="Times New Roman" w:hAnsi="Times New Roman"/>
          <w:spacing w:val="8"/>
          <w:sz w:val="28"/>
          <w:szCs w:val="28"/>
        </w:rPr>
        <w:t>.</w:t>
      </w:r>
    </w:p>
    <w:p w:rsidR="00F80BEA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>осуществляет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>
        <w:rPr>
          <w:rFonts w:ascii="Times New Roman" w:hAnsi="Times New Roman"/>
          <w:sz w:val="28"/>
          <w:szCs w:val="28"/>
        </w:rPr>
        <w:t>:</w:t>
      </w:r>
      <w:r w:rsidRPr="00E940ED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F80BEA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46D7" w:rsidRPr="00E940ED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="001D46D7"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="001D46D7"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 w:rsidR="001D46D7"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>
        <w:rPr>
          <w:rFonts w:ascii="Times New Roman" w:hAnsi="Times New Roman"/>
          <w:sz w:val="28"/>
          <w:szCs w:val="28"/>
        </w:rPr>
        <w:t>;</w:t>
      </w:r>
    </w:p>
    <w:p w:rsidR="00F80BEA" w:rsidRPr="00E940ED" w:rsidRDefault="00F80BEA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субсидии из бюджета городского округа город Воронеж на обеспечение деятельности юридических лиц, осуществляющих помывку в банях и душевых.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строительной политики администрации городского округа город </w:t>
      </w:r>
      <w:r w:rsidR="00F80BE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1D46D7" w:rsidRPr="001D46D7" w:rsidRDefault="001D46D7" w:rsidP="006E2BE9">
      <w:pPr>
        <w:spacing w:after="0" w:line="384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F848F4" w:rsidRDefault="001D46D7" w:rsidP="00592B02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Исполнителями мероприятия являются управление имущественных и земельных отношений администрации городского округа город Воронеж, </w:t>
      </w:r>
      <w:r w:rsidR="00B44AB6" w:rsidRPr="00E940ED">
        <w:rPr>
          <w:rFonts w:ascii="Times New Roman" w:hAnsi="Times New Roman"/>
          <w:sz w:val="28"/>
          <w:szCs w:val="28"/>
        </w:rPr>
        <w:t xml:space="preserve">управление </w:t>
      </w:r>
      <w:r w:rsidR="00B44AB6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B44AB6" w:rsidRPr="00E940ED">
        <w:rPr>
          <w:rFonts w:ascii="Times New Roman" w:hAnsi="Times New Roman"/>
          <w:sz w:val="28"/>
          <w:szCs w:val="28"/>
        </w:rPr>
        <w:t xml:space="preserve"> администрации городского о</w:t>
      </w:r>
      <w:r w:rsidR="00B44AB6">
        <w:rPr>
          <w:rFonts w:ascii="Times New Roman" w:hAnsi="Times New Roman"/>
          <w:sz w:val="28"/>
          <w:szCs w:val="28"/>
        </w:rPr>
        <w:t>круга город Воронеж,</w:t>
      </w:r>
      <w:r w:rsidR="00B44AB6" w:rsidRPr="00E940ED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управление главного архитектора администрации городского о</w:t>
      </w:r>
      <w:r w:rsidR="009E2C0E">
        <w:rPr>
          <w:rFonts w:ascii="Times New Roman" w:hAnsi="Times New Roman"/>
          <w:sz w:val="28"/>
          <w:szCs w:val="28"/>
        </w:rPr>
        <w:t>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201</w:t>
      </w:r>
      <w:r w:rsidR="00207805">
        <w:rPr>
          <w:rFonts w:ascii="Times New Roman" w:hAnsi="Times New Roman"/>
          <w:sz w:val="28"/>
          <w:szCs w:val="28"/>
        </w:rPr>
        <w:t>8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171BCB">
        <w:rPr>
          <w:rFonts w:ascii="Times New Roman" w:hAnsi="Times New Roman"/>
          <w:sz w:val="28"/>
          <w:szCs w:val="28"/>
        </w:rPr>
        <w:t xml:space="preserve"> и</w:t>
      </w:r>
      <w:r w:rsidR="009E2C0E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управление развития предпринимательства, потребительского рынка и инновационной политики администрации </w:t>
      </w:r>
      <w:r w:rsidR="009E2C0E">
        <w:rPr>
          <w:rFonts w:ascii="Times New Roman" w:hAnsi="Times New Roman"/>
          <w:sz w:val="28"/>
          <w:szCs w:val="28"/>
        </w:rPr>
        <w:t>г</w:t>
      </w:r>
      <w:r w:rsidR="00F848F4">
        <w:rPr>
          <w:rFonts w:ascii="Times New Roman" w:hAnsi="Times New Roman"/>
          <w:sz w:val="28"/>
          <w:szCs w:val="28"/>
        </w:rPr>
        <w:t>ородского округа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48F4">
        <w:rPr>
          <w:rFonts w:ascii="Times New Roman" w:hAnsi="Times New Roman"/>
          <w:sz w:val="28"/>
          <w:szCs w:val="28"/>
        </w:rPr>
        <w:t>.</w:t>
      </w:r>
      <w:r w:rsidR="002B7519">
        <w:rPr>
          <w:rFonts w:ascii="Times New Roman" w:hAnsi="Times New Roman"/>
          <w:sz w:val="28"/>
          <w:szCs w:val="28"/>
        </w:rPr>
        <w:t xml:space="preserve"> </w:t>
      </w:r>
    </w:p>
    <w:p w:rsidR="00B44AB6" w:rsidRPr="000D3C70" w:rsidRDefault="00B44AB6" w:rsidP="00B44AB6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Default="001D46D7" w:rsidP="009E2C0E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="004D3ACA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</w:t>
      </w:r>
      <w:r w:rsidR="00E66611">
        <w:rPr>
          <w:rFonts w:ascii="Times New Roman" w:hAnsi="Times New Roman"/>
          <w:sz w:val="28"/>
          <w:szCs w:val="28"/>
        </w:rPr>
        <w:t xml:space="preserve">, </w:t>
      </w:r>
      <w:r w:rsidR="00E66611" w:rsidRPr="00E66611">
        <w:rPr>
          <w:rFonts w:ascii="Times New Roman" w:hAnsi="Times New Roman"/>
          <w:sz w:val="28"/>
          <w:szCs w:val="28"/>
        </w:rPr>
        <w:t>технических планов на объекты капитального строительства</w:t>
      </w:r>
      <w:r w:rsidRPr="00E940ED">
        <w:rPr>
          <w:rFonts w:ascii="Times New Roman" w:hAnsi="Times New Roman"/>
          <w:sz w:val="28"/>
          <w:szCs w:val="28"/>
        </w:rPr>
        <w:t>;</w:t>
      </w:r>
    </w:p>
    <w:p w:rsidR="005E0624" w:rsidRDefault="005E0624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Default="005E0624" w:rsidP="005E0624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281AAE" w:rsidRPr="007A642B" w:rsidRDefault="00281AAE" w:rsidP="00281AAE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="00F848F4"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5E0624" w:rsidRPr="00E940ED" w:rsidRDefault="005E0624" w:rsidP="005E062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  <w:r w:rsidRPr="005E0624">
        <w:rPr>
          <w:rFonts w:ascii="Times New Roman" w:hAnsi="Times New Roman"/>
          <w:sz w:val="28"/>
          <w:szCs w:val="28"/>
        </w:rPr>
        <w:t xml:space="preserve"> 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5E0624" w:rsidRDefault="005E0624" w:rsidP="005E06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недвижимого имущества, предоставляемого взамен и</w:t>
      </w:r>
      <w:r w:rsidR="001E7950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имущества.</w:t>
      </w:r>
    </w:p>
    <w:p w:rsidR="00B44AB6" w:rsidRDefault="00B44AB6" w:rsidP="00B44AB6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Муниципальное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Pr="00B44AB6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тов муниципальной собственности, в том числе в отношении объектов культурного наследия, </w:t>
      </w:r>
      <w:r w:rsidRPr="00E940ED">
        <w:rPr>
          <w:rFonts w:ascii="Times New Roman" w:hAnsi="Times New Roman"/>
          <w:sz w:val="28"/>
          <w:szCs w:val="28"/>
        </w:rPr>
        <w:t>в рамках мероприятия выступает заказчиком следующих видов услуг сторонних организаций:</w:t>
      </w:r>
    </w:p>
    <w:p w:rsidR="00B44AB6" w:rsidRDefault="00B44AB6" w:rsidP="00B44AB6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осуществление экспертной оценки технического состояния объектов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B44AB6" w:rsidRPr="007A642B" w:rsidRDefault="00B44AB6" w:rsidP="00B44AB6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 ремонтных работ или реконструкции</w:t>
      </w:r>
      <w:r w:rsidR="0016686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(модернизации)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</w:p>
    <w:p w:rsidR="00B44AB6" w:rsidRPr="001D46D7" w:rsidRDefault="00B44AB6" w:rsidP="00B44AB6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.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>главного архитектора администрации городского округа город Воронеж в рамках мероприятия выступает заказчиком следующ</w:t>
      </w:r>
      <w:r w:rsidR="00F77149">
        <w:rPr>
          <w:rFonts w:ascii="Times New Roman" w:hAnsi="Times New Roman"/>
          <w:sz w:val="28"/>
          <w:szCs w:val="28"/>
        </w:rPr>
        <w:t>его</w:t>
      </w:r>
      <w:r w:rsidRPr="00F9115C">
        <w:rPr>
          <w:rFonts w:ascii="Times New Roman" w:hAnsi="Times New Roman"/>
          <w:sz w:val="28"/>
          <w:szCs w:val="28"/>
        </w:rPr>
        <w:t xml:space="preserve"> вид</w:t>
      </w:r>
      <w:r w:rsidR="00F77149">
        <w:rPr>
          <w:rFonts w:ascii="Times New Roman" w:hAnsi="Times New Roman"/>
          <w:sz w:val="28"/>
          <w:szCs w:val="28"/>
        </w:rPr>
        <w:t>а</w:t>
      </w:r>
      <w:r w:rsidRPr="00F9115C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201</w:t>
      </w:r>
      <w:r w:rsidR="0081318C">
        <w:rPr>
          <w:rFonts w:ascii="Times New Roman" w:hAnsi="Times New Roman"/>
          <w:sz w:val="28"/>
          <w:szCs w:val="28"/>
        </w:rPr>
        <w:t>8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F9115C">
        <w:rPr>
          <w:rFonts w:ascii="Times New Roman" w:hAnsi="Times New Roman"/>
          <w:sz w:val="28"/>
          <w:szCs w:val="28"/>
        </w:rPr>
        <w:t xml:space="preserve">: 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5824">
        <w:rPr>
          <w:rFonts w:ascii="Times New Roman" w:hAnsi="Times New Roman"/>
          <w:sz w:val="28"/>
          <w:szCs w:val="28"/>
        </w:rPr>
        <w:t xml:space="preserve"> 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</w:t>
      </w:r>
      <w:r w:rsidR="00012790">
        <w:rPr>
          <w:rFonts w:ascii="Times New Roman" w:hAnsi="Times New Roman"/>
          <w:sz w:val="28"/>
          <w:szCs w:val="28"/>
        </w:rPr>
        <w:t>его</w:t>
      </w:r>
      <w:r w:rsidRPr="00EC3B91">
        <w:rPr>
          <w:rFonts w:ascii="Times New Roman" w:hAnsi="Times New Roman"/>
          <w:sz w:val="28"/>
          <w:szCs w:val="28"/>
        </w:rPr>
        <w:t xml:space="preserve"> вид</w:t>
      </w:r>
      <w:r w:rsidR="00012790">
        <w:rPr>
          <w:rFonts w:ascii="Times New Roman" w:hAnsi="Times New Roman"/>
          <w:sz w:val="28"/>
          <w:szCs w:val="28"/>
        </w:rPr>
        <w:t>а</w:t>
      </w:r>
      <w:r w:rsidRPr="00EC3B91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EF442A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EC3B91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CF67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CF6763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15616A" w:rsidRDefault="0015616A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940ED">
        <w:rPr>
          <w:rFonts w:ascii="Times New Roman" w:hAnsi="Times New Roman"/>
          <w:sz w:val="28"/>
          <w:szCs w:val="28"/>
        </w:rPr>
        <w:t xml:space="preserve"> управление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Pr="00E940ED">
        <w:rPr>
          <w:rFonts w:ascii="Times New Roman" w:hAnsi="Times New Roman"/>
          <w:sz w:val="28"/>
          <w:szCs w:val="28"/>
        </w:rPr>
        <w:t>администрации городского о</w:t>
      </w:r>
      <w:r>
        <w:rPr>
          <w:rFonts w:ascii="Times New Roman" w:hAnsi="Times New Roman"/>
          <w:sz w:val="28"/>
          <w:szCs w:val="28"/>
        </w:rPr>
        <w:t>круга город Воронеж.</w:t>
      </w:r>
    </w:p>
    <w:p w:rsidR="00235A61" w:rsidRPr="000D3C70" w:rsidRDefault="00235A61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Pr="000D3C70" w:rsidRDefault="006A2A85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0D3C70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0D3C70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 w:rsidRPr="000D3C70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0D3C70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15616A" w:rsidRDefault="00D33BBA" w:rsidP="0015616A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М</w:t>
      </w:r>
      <w:r w:rsidR="00235A61" w:rsidRPr="000D3C70">
        <w:rPr>
          <w:rFonts w:ascii="Times New Roman" w:hAnsi="Times New Roman"/>
          <w:sz w:val="28"/>
          <w:szCs w:val="28"/>
          <w:lang w:eastAsia="ru-RU"/>
        </w:rPr>
        <w:t>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="002013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выступа</w:t>
      </w:r>
      <w:r w:rsidR="004637A7">
        <w:rPr>
          <w:rFonts w:ascii="Times New Roman" w:hAnsi="Times New Roman"/>
          <w:sz w:val="28"/>
          <w:szCs w:val="28"/>
          <w:lang w:eastAsia="ru-RU"/>
        </w:rPr>
        <w:t>е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т заказчик</w:t>
      </w:r>
      <w:r w:rsidR="004637A7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 xml:space="preserve">работ и услуг сторонних организаций для осуществления </w:t>
      </w:r>
      <w:proofErr w:type="gramStart"/>
      <w:r w:rsidR="0015616A" w:rsidRPr="000D3C70">
        <w:rPr>
          <w:rFonts w:ascii="Times New Roman" w:hAnsi="Times New Roman"/>
          <w:sz w:val="28"/>
          <w:szCs w:val="28"/>
          <w:lang w:eastAsia="ru-RU"/>
        </w:rPr>
        <w:t>ремонта объектов недвижимости имущественной казны городского округа</w:t>
      </w:r>
      <w:proofErr w:type="gramEnd"/>
      <w:r w:rsidR="0015616A" w:rsidRPr="000D3C70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1.8. Осуществление выплат собственникам изымаемых объектов недвижимости для муниципальных нужд.</w:t>
      </w:r>
    </w:p>
    <w:p w:rsidR="001D46D7" w:rsidRPr="00773459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3A2E25" w:rsidP="00CF6763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В случае изъятия земельного участка и находящихся на нем объектов недвижимости (нежилого фонда) для муниципальных нужд в соответствии с гражданским и земельным законодательством осуществляются выплаты</w:t>
      </w:r>
      <w:r w:rsidR="001D46D7" w:rsidRPr="00CD319D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031208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031208">
      <w:pPr>
        <w:widowControl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F848F4" w:rsidRPr="000532CF" w:rsidRDefault="00F848F4" w:rsidP="00F848F4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 (демонтажу)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недвижимых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имущественной казны: нежилых зданий,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прочих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1.10. Перечисление денежных средств на депозитный счет суда.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</w:t>
      </w:r>
      <w:r w:rsidR="00CD319D">
        <w:rPr>
          <w:rFonts w:ascii="Times New Roman" w:hAnsi="Times New Roman"/>
          <w:sz w:val="28"/>
          <w:szCs w:val="28"/>
        </w:rPr>
        <w:t xml:space="preserve">, которое осуществляет перечисление денежных средств на депозит суда для </w:t>
      </w:r>
      <w:r w:rsidR="00CD319D" w:rsidRPr="00CD319D">
        <w:rPr>
          <w:rFonts w:ascii="Times New Roman" w:hAnsi="Times New Roman"/>
          <w:sz w:val="28"/>
          <w:szCs w:val="28"/>
        </w:rPr>
        <w:t>выплаты</w:t>
      </w:r>
      <w:r w:rsidR="00CD319D" w:rsidRPr="00CD319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</w:t>
      </w:r>
      <w:r w:rsidR="00CD31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319D" w:rsidRPr="00CD319D" w:rsidRDefault="00CD319D" w:rsidP="005C2EE8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Данные денежные средства могут быть использованы для выплаты вознаграждения финансовому управляющему только в случае отсутствия денежных сре</w:t>
      </w:r>
      <w:proofErr w:type="gramStart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я этой цели в конкурсной массе.</w:t>
      </w:r>
    </w:p>
    <w:p w:rsidR="001D46D7" w:rsidRDefault="001D46D7" w:rsidP="006E2BE9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1D46D7" w:rsidRPr="00B12003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-исковой работы </w:t>
      </w:r>
      <w:proofErr w:type="gramStart"/>
      <w:r w:rsidRPr="00E940ED">
        <w:rPr>
          <w:rFonts w:ascii="Times New Roman" w:hAnsi="Times New Roman"/>
          <w:sz w:val="28"/>
          <w:szCs w:val="28"/>
        </w:rPr>
        <w:t>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имуществом, земельными участками, находящимися в собственности муниципального образования, а также земельными участками,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  расположены</w:t>
      </w:r>
      <w:r w:rsidRPr="00E940ED"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E91FD5" w:rsidRDefault="00E91FD5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E91FD5" w:rsidRDefault="00E91FD5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E91FD5" w:rsidRDefault="00E91FD5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E91FD5" w:rsidRDefault="00E91FD5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F77080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EF442A" w:rsidRDefault="00EF442A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Общий объем финансирования </w:t>
      </w:r>
      <w:r w:rsidR="00E47B02">
        <w:rPr>
          <w:rFonts w:ascii="Times New Roman" w:eastAsiaTheme="minorHAnsi" w:hAnsi="Times New Roman"/>
          <w:sz w:val="28"/>
          <w:szCs w:val="28"/>
        </w:rPr>
        <w:t>муниципальной п</w:t>
      </w:r>
      <w:r>
        <w:rPr>
          <w:rFonts w:ascii="Times New Roman" w:eastAsiaTheme="minorHAnsi" w:hAnsi="Times New Roman"/>
          <w:sz w:val="28"/>
          <w:szCs w:val="28"/>
        </w:rPr>
        <w:t>рограммы составляет 1 37</w:t>
      </w:r>
      <w:r w:rsidR="00146B76">
        <w:rPr>
          <w:rFonts w:ascii="Times New Roman" w:eastAsiaTheme="minorHAnsi" w:hAnsi="Times New Roman"/>
          <w:sz w:val="28"/>
          <w:szCs w:val="28"/>
        </w:rPr>
        <w:t>0</w:t>
      </w:r>
      <w:r>
        <w:rPr>
          <w:rFonts w:ascii="Times New Roman" w:eastAsiaTheme="minorHAnsi" w:hAnsi="Times New Roman"/>
          <w:sz w:val="28"/>
          <w:szCs w:val="28"/>
        </w:rPr>
        <w:t> 8</w:t>
      </w:r>
      <w:r w:rsidR="00146B76">
        <w:rPr>
          <w:rFonts w:ascii="Times New Roman" w:eastAsiaTheme="minorHAnsi" w:hAnsi="Times New Roman"/>
          <w:sz w:val="28"/>
          <w:szCs w:val="28"/>
        </w:rPr>
        <w:t>17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146B76">
        <w:rPr>
          <w:rFonts w:ascii="Times New Roman" w:eastAsiaTheme="minorHAnsi" w:hAnsi="Times New Roman"/>
          <w:sz w:val="28"/>
          <w:szCs w:val="28"/>
        </w:rPr>
        <w:t>80</w:t>
      </w:r>
      <w:r>
        <w:rPr>
          <w:rFonts w:ascii="Times New Roman" w:eastAsiaTheme="minorHAnsi" w:hAnsi="Times New Roman"/>
          <w:sz w:val="28"/>
          <w:szCs w:val="28"/>
        </w:rPr>
        <w:t> тыс. рублей, в том числе по источникам финансирования:</w:t>
      </w: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областной бюджет – 6</w:t>
      </w:r>
      <w:r w:rsidR="00146B76">
        <w:rPr>
          <w:rFonts w:ascii="Times New Roman" w:eastAsiaTheme="minorHAnsi" w:hAnsi="Times New Roman"/>
          <w:sz w:val="28"/>
          <w:szCs w:val="28"/>
        </w:rPr>
        <w:t> 909,03</w:t>
      </w:r>
      <w:r>
        <w:rPr>
          <w:rFonts w:ascii="Times New Roman" w:eastAsiaTheme="minorHAnsi" w:hAnsi="Times New Roman"/>
          <w:sz w:val="28"/>
          <w:szCs w:val="28"/>
        </w:rPr>
        <w:t xml:space="preserve"> тыс. рублей;</w:t>
      </w: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бюджет городского округа город Воронеж – 1 36</w:t>
      </w:r>
      <w:r w:rsidR="00146B76">
        <w:rPr>
          <w:rFonts w:ascii="Times New Roman" w:eastAsiaTheme="minorHAnsi" w:hAnsi="Times New Roman"/>
          <w:sz w:val="28"/>
          <w:szCs w:val="28"/>
        </w:rPr>
        <w:t>3 908,77</w:t>
      </w:r>
      <w:r>
        <w:rPr>
          <w:rFonts w:ascii="Times New Roman" w:eastAsiaTheme="minorHAnsi" w:hAnsi="Times New Roman"/>
          <w:sz w:val="28"/>
          <w:szCs w:val="28"/>
        </w:rPr>
        <w:t xml:space="preserve"> тыс. рублей.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EF442A" w:rsidRPr="00031208" w:rsidRDefault="00EF442A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5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. ПОДПРОГРАММА МУНИЦИПАЛЬНОЙ ПРОГРАММЫ</w:t>
      </w:r>
    </w:p>
    <w:p w:rsidR="001D46D7" w:rsidRPr="00031208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10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86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0D5BC9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</w:tc>
      </w:tr>
      <w:tr w:rsidR="001D46D7" w:rsidRPr="00E940ED" w:rsidTr="0081144C">
        <w:trPr>
          <w:trHeight w:val="1179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highlight w:val="yellow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</w:tc>
      </w:tr>
    </w:tbl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18"/>
          <w:szCs w:val="28"/>
          <w:lang w:eastAsia="ru-RU"/>
        </w:rPr>
      </w:pPr>
      <w:bookmarkStart w:id="4" w:name="Par272"/>
      <w:bookmarkEnd w:id="4"/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F8468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1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Исполнителями подпрограммы 1 являются управление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Воронеж, управление главного архитектора администрации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0D5BC9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F77149" w:rsidRPr="00EF442A" w:rsidRDefault="00F77149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81144C" w:rsidRDefault="001D46D7" w:rsidP="00CF676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824A8E" w:rsidRPr="0081144C" w:rsidRDefault="00824A8E" w:rsidP="0081144C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43 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1D46D7" w:rsidRPr="00171BCB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3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81144C" w:rsidRPr="00171BCB" w:rsidRDefault="0081144C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5375ED" w:rsidP="001D4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ь</w:t>
      </w:r>
      <w:r w:rsidR="001D46D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C105DD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="00E30117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 w:rsidR="00FD4EBD">
        <w:rPr>
          <w:rFonts w:ascii="Times New Roman" w:eastAsiaTheme="minorHAnsi" w:hAnsi="Times New Roman"/>
          <w:sz w:val="28"/>
          <w:szCs w:val="28"/>
          <w:lang w:eastAsia="ru-RU"/>
        </w:rPr>
        <w:t>С.А. Завьялов</w:t>
      </w:r>
    </w:p>
    <w:sectPr w:rsidR="00F414B6" w:rsidSect="00AA7E0E">
      <w:headerReference w:type="default" r:id="rId15"/>
      <w:pgSz w:w="11906" w:h="16838"/>
      <w:pgMar w:top="1134" w:right="567" w:bottom="1418" w:left="1985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92" w:rsidRDefault="008B3B92" w:rsidP="00F03D5B">
      <w:pPr>
        <w:spacing w:after="0" w:line="240" w:lineRule="auto"/>
      </w:pPr>
      <w:r>
        <w:separator/>
      </w:r>
    </w:p>
  </w:endnote>
  <w:endnote w:type="continuationSeparator" w:id="0">
    <w:p w:rsidR="008B3B92" w:rsidRDefault="008B3B92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92" w:rsidRDefault="008B3B92" w:rsidP="00F03D5B">
      <w:pPr>
        <w:spacing w:after="0" w:line="240" w:lineRule="auto"/>
      </w:pPr>
      <w:r>
        <w:separator/>
      </w:r>
    </w:p>
  </w:footnote>
  <w:footnote w:type="continuationSeparator" w:id="0">
    <w:p w:rsidR="008B3B92" w:rsidRDefault="008B3B92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213954"/>
      <w:docPartObj>
        <w:docPartGallery w:val="Page Numbers (Top of Page)"/>
        <w:docPartUnique/>
      </w:docPartObj>
    </w:sdtPr>
    <w:sdtEndPr/>
    <w:sdtContent>
      <w:p w:rsidR="00505DC9" w:rsidRDefault="00487EA5">
        <w:pPr>
          <w:pStyle w:val="a7"/>
          <w:jc w:val="center"/>
        </w:pPr>
        <w:r>
          <w:fldChar w:fldCharType="begin"/>
        </w:r>
        <w:r w:rsidR="00505DC9">
          <w:instrText>PAGE   \* MERGEFORMAT</w:instrText>
        </w:r>
        <w:r>
          <w:fldChar w:fldCharType="separate"/>
        </w:r>
        <w:r w:rsidR="000D5BC9">
          <w:rPr>
            <w:noProof/>
          </w:rPr>
          <w:t>23</w:t>
        </w:r>
        <w:r>
          <w:fldChar w:fldCharType="end"/>
        </w:r>
      </w:p>
    </w:sdtContent>
  </w:sdt>
  <w:p w:rsidR="00505DC9" w:rsidRDefault="00505D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1714"/>
    <w:rsid w:val="00002F02"/>
    <w:rsid w:val="0000505C"/>
    <w:rsid w:val="00012790"/>
    <w:rsid w:val="00031208"/>
    <w:rsid w:val="000348CC"/>
    <w:rsid w:val="0003531F"/>
    <w:rsid w:val="000477DE"/>
    <w:rsid w:val="00047D7E"/>
    <w:rsid w:val="00063EC0"/>
    <w:rsid w:val="00066F05"/>
    <w:rsid w:val="0008343C"/>
    <w:rsid w:val="00083B19"/>
    <w:rsid w:val="000A2EDB"/>
    <w:rsid w:val="000C0120"/>
    <w:rsid w:val="000C181A"/>
    <w:rsid w:val="000C5A6F"/>
    <w:rsid w:val="000D01B0"/>
    <w:rsid w:val="000D3C70"/>
    <w:rsid w:val="000D5BC9"/>
    <w:rsid w:val="000F6D9C"/>
    <w:rsid w:val="001018ED"/>
    <w:rsid w:val="00103385"/>
    <w:rsid w:val="00136396"/>
    <w:rsid w:val="00146B76"/>
    <w:rsid w:val="00153634"/>
    <w:rsid w:val="0015616A"/>
    <w:rsid w:val="0016686D"/>
    <w:rsid w:val="00171BCB"/>
    <w:rsid w:val="001733E1"/>
    <w:rsid w:val="001914BB"/>
    <w:rsid w:val="001A1777"/>
    <w:rsid w:val="001B20C3"/>
    <w:rsid w:val="001B662F"/>
    <w:rsid w:val="001C01B1"/>
    <w:rsid w:val="001C3E49"/>
    <w:rsid w:val="001D3B55"/>
    <w:rsid w:val="001D46D7"/>
    <w:rsid w:val="001E562E"/>
    <w:rsid w:val="001E7950"/>
    <w:rsid w:val="001F65E7"/>
    <w:rsid w:val="00201384"/>
    <w:rsid w:val="00202885"/>
    <w:rsid w:val="00206E87"/>
    <w:rsid w:val="00207805"/>
    <w:rsid w:val="00227657"/>
    <w:rsid w:val="00235A61"/>
    <w:rsid w:val="00244268"/>
    <w:rsid w:val="00252D17"/>
    <w:rsid w:val="00257B92"/>
    <w:rsid w:val="00266C0F"/>
    <w:rsid w:val="002679B8"/>
    <w:rsid w:val="00274E45"/>
    <w:rsid w:val="00277660"/>
    <w:rsid w:val="00280E2D"/>
    <w:rsid w:val="00281AAE"/>
    <w:rsid w:val="00281D24"/>
    <w:rsid w:val="00296AE2"/>
    <w:rsid w:val="002B7519"/>
    <w:rsid w:val="002C5A22"/>
    <w:rsid w:val="002D2877"/>
    <w:rsid w:val="00300F75"/>
    <w:rsid w:val="00307208"/>
    <w:rsid w:val="003114D1"/>
    <w:rsid w:val="00322396"/>
    <w:rsid w:val="003370E2"/>
    <w:rsid w:val="00345A80"/>
    <w:rsid w:val="00397031"/>
    <w:rsid w:val="003A2E25"/>
    <w:rsid w:val="003A6923"/>
    <w:rsid w:val="003B121D"/>
    <w:rsid w:val="003B5DEF"/>
    <w:rsid w:val="003B7B46"/>
    <w:rsid w:val="003D79F8"/>
    <w:rsid w:val="003F0552"/>
    <w:rsid w:val="003F2EFE"/>
    <w:rsid w:val="0042651F"/>
    <w:rsid w:val="00437EB9"/>
    <w:rsid w:val="004429D8"/>
    <w:rsid w:val="0045348B"/>
    <w:rsid w:val="004637A7"/>
    <w:rsid w:val="00486679"/>
    <w:rsid w:val="00487EA5"/>
    <w:rsid w:val="00494393"/>
    <w:rsid w:val="004B1E40"/>
    <w:rsid w:val="004D3ACA"/>
    <w:rsid w:val="004D631A"/>
    <w:rsid w:val="004D7909"/>
    <w:rsid w:val="00503BA6"/>
    <w:rsid w:val="00505DC9"/>
    <w:rsid w:val="00527F9D"/>
    <w:rsid w:val="005375ED"/>
    <w:rsid w:val="00576CFB"/>
    <w:rsid w:val="00592B02"/>
    <w:rsid w:val="0059349C"/>
    <w:rsid w:val="005A0AF6"/>
    <w:rsid w:val="005A5A80"/>
    <w:rsid w:val="005A7EF5"/>
    <w:rsid w:val="005B0989"/>
    <w:rsid w:val="005C2EE8"/>
    <w:rsid w:val="005C41AE"/>
    <w:rsid w:val="005D1E89"/>
    <w:rsid w:val="005E0624"/>
    <w:rsid w:val="005E3523"/>
    <w:rsid w:val="005E78F9"/>
    <w:rsid w:val="005F1F5E"/>
    <w:rsid w:val="00604036"/>
    <w:rsid w:val="006069F5"/>
    <w:rsid w:val="00607CB5"/>
    <w:rsid w:val="0061625C"/>
    <w:rsid w:val="00632A97"/>
    <w:rsid w:val="00634922"/>
    <w:rsid w:val="0063598C"/>
    <w:rsid w:val="00651674"/>
    <w:rsid w:val="00660854"/>
    <w:rsid w:val="00663605"/>
    <w:rsid w:val="00675C1B"/>
    <w:rsid w:val="006A2A85"/>
    <w:rsid w:val="006A5618"/>
    <w:rsid w:val="006A63EC"/>
    <w:rsid w:val="006A67ED"/>
    <w:rsid w:val="006B0101"/>
    <w:rsid w:val="006B25F6"/>
    <w:rsid w:val="006D2CA3"/>
    <w:rsid w:val="006E2BE9"/>
    <w:rsid w:val="007056EB"/>
    <w:rsid w:val="00726D02"/>
    <w:rsid w:val="00733876"/>
    <w:rsid w:val="007578EC"/>
    <w:rsid w:val="007A02DA"/>
    <w:rsid w:val="007A642B"/>
    <w:rsid w:val="007B5B6B"/>
    <w:rsid w:val="007D4451"/>
    <w:rsid w:val="00806F52"/>
    <w:rsid w:val="00810F3A"/>
    <w:rsid w:val="0081144C"/>
    <w:rsid w:val="0081318C"/>
    <w:rsid w:val="00824A8E"/>
    <w:rsid w:val="00825734"/>
    <w:rsid w:val="00842390"/>
    <w:rsid w:val="00850079"/>
    <w:rsid w:val="00856D2C"/>
    <w:rsid w:val="00857503"/>
    <w:rsid w:val="008623AE"/>
    <w:rsid w:val="0086789B"/>
    <w:rsid w:val="00871C2D"/>
    <w:rsid w:val="00874C06"/>
    <w:rsid w:val="00885A20"/>
    <w:rsid w:val="008A6967"/>
    <w:rsid w:val="008B3B92"/>
    <w:rsid w:val="008B5395"/>
    <w:rsid w:val="008C1FB2"/>
    <w:rsid w:val="008C31E4"/>
    <w:rsid w:val="008D4DCD"/>
    <w:rsid w:val="008D505D"/>
    <w:rsid w:val="008E7C58"/>
    <w:rsid w:val="00914B26"/>
    <w:rsid w:val="00920F54"/>
    <w:rsid w:val="00921062"/>
    <w:rsid w:val="00923C69"/>
    <w:rsid w:val="00937550"/>
    <w:rsid w:val="009404F0"/>
    <w:rsid w:val="00951F4B"/>
    <w:rsid w:val="00952066"/>
    <w:rsid w:val="00952C62"/>
    <w:rsid w:val="00994D0D"/>
    <w:rsid w:val="00997E5F"/>
    <w:rsid w:val="009B7A43"/>
    <w:rsid w:val="009C29D4"/>
    <w:rsid w:val="009D1384"/>
    <w:rsid w:val="009D721E"/>
    <w:rsid w:val="009E2C0E"/>
    <w:rsid w:val="009E3E76"/>
    <w:rsid w:val="009F1586"/>
    <w:rsid w:val="009F3C5E"/>
    <w:rsid w:val="00A04C77"/>
    <w:rsid w:val="00A20EBA"/>
    <w:rsid w:val="00A55D64"/>
    <w:rsid w:val="00A72CA1"/>
    <w:rsid w:val="00AA70B5"/>
    <w:rsid w:val="00AA7E0E"/>
    <w:rsid w:val="00AD29BC"/>
    <w:rsid w:val="00AE4C8F"/>
    <w:rsid w:val="00B00C40"/>
    <w:rsid w:val="00B1532F"/>
    <w:rsid w:val="00B27C6B"/>
    <w:rsid w:val="00B44AB6"/>
    <w:rsid w:val="00B46436"/>
    <w:rsid w:val="00B55088"/>
    <w:rsid w:val="00B74D32"/>
    <w:rsid w:val="00B85601"/>
    <w:rsid w:val="00B85FAE"/>
    <w:rsid w:val="00B86226"/>
    <w:rsid w:val="00B9366A"/>
    <w:rsid w:val="00B96B9C"/>
    <w:rsid w:val="00BA053B"/>
    <w:rsid w:val="00BA1D23"/>
    <w:rsid w:val="00BA4951"/>
    <w:rsid w:val="00BA7A83"/>
    <w:rsid w:val="00BB0813"/>
    <w:rsid w:val="00BB2B37"/>
    <w:rsid w:val="00BC2CDD"/>
    <w:rsid w:val="00BE7A9D"/>
    <w:rsid w:val="00BF55D7"/>
    <w:rsid w:val="00C037CB"/>
    <w:rsid w:val="00C060EF"/>
    <w:rsid w:val="00C07AB4"/>
    <w:rsid w:val="00C105DD"/>
    <w:rsid w:val="00C16489"/>
    <w:rsid w:val="00C35377"/>
    <w:rsid w:val="00C378A5"/>
    <w:rsid w:val="00C44C63"/>
    <w:rsid w:val="00C537A2"/>
    <w:rsid w:val="00C53B8B"/>
    <w:rsid w:val="00C5764D"/>
    <w:rsid w:val="00C621BF"/>
    <w:rsid w:val="00C6590D"/>
    <w:rsid w:val="00C93570"/>
    <w:rsid w:val="00CA072C"/>
    <w:rsid w:val="00CA1DF4"/>
    <w:rsid w:val="00CA1F1A"/>
    <w:rsid w:val="00CA3D09"/>
    <w:rsid w:val="00CB3D7C"/>
    <w:rsid w:val="00CD319D"/>
    <w:rsid w:val="00CE2487"/>
    <w:rsid w:val="00CE6695"/>
    <w:rsid w:val="00CF6763"/>
    <w:rsid w:val="00D03764"/>
    <w:rsid w:val="00D33BBA"/>
    <w:rsid w:val="00D41BF1"/>
    <w:rsid w:val="00D6182D"/>
    <w:rsid w:val="00D6192D"/>
    <w:rsid w:val="00D66BC1"/>
    <w:rsid w:val="00D94821"/>
    <w:rsid w:val="00D9726A"/>
    <w:rsid w:val="00DA481C"/>
    <w:rsid w:val="00DB1A66"/>
    <w:rsid w:val="00DB71BA"/>
    <w:rsid w:val="00DE1016"/>
    <w:rsid w:val="00E0683D"/>
    <w:rsid w:val="00E0695B"/>
    <w:rsid w:val="00E07444"/>
    <w:rsid w:val="00E13F3A"/>
    <w:rsid w:val="00E168E6"/>
    <w:rsid w:val="00E30117"/>
    <w:rsid w:val="00E33FC5"/>
    <w:rsid w:val="00E347B5"/>
    <w:rsid w:val="00E422BA"/>
    <w:rsid w:val="00E47B02"/>
    <w:rsid w:val="00E50A16"/>
    <w:rsid w:val="00E53235"/>
    <w:rsid w:val="00E57FEE"/>
    <w:rsid w:val="00E66611"/>
    <w:rsid w:val="00E67383"/>
    <w:rsid w:val="00E76EBA"/>
    <w:rsid w:val="00E7702D"/>
    <w:rsid w:val="00E84A34"/>
    <w:rsid w:val="00E90B6B"/>
    <w:rsid w:val="00E91FD5"/>
    <w:rsid w:val="00E9451D"/>
    <w:rsid w:val="00EB4AAC"/>
    <w:rsid w:val="00ED102C"/>
    <w:rsid w:val="00ED6642"/>
    <w:rsid w:val="00EE62C2"/>
    <w:rsid w:val="00EF4282"/>
    <w:rsid w:val="00EF442A"/>
    <w:rsid w:val="00F03D5B"/>
    <w:rsid w:val="00F04E5B"/>
    <w:rsid w:val="00F05918"/>
    <w:rsid w:val="00F2467E"/>
    <w:rsid w:val="00F35070"/>
    <w:rsid w:val="00F414B6"/>
    <w:rsid w:val="00F44806"/>
    <w:rsid w:val="00F4547C"/>
    <w:rsid w:val="00F463E2"/>
    <w:rsid w:val="00F55B11"/>
    <w:rsid w:val="00F673A5"/>
    <w:rsid w:val="00F77149"/>
    <w:rsid w:val="00F80BEA"/>
    <w:rsid w:val="00F80D6D"/>
    <w:rsid w:val="00F848F4"/>
    <w:rsid w:val="00F93F60"/>
    <w:rsid w:val="00FA0822"/>
    <w:rsid w:val="00FA19CB"/>
    <w:rsid w:val="00FA60A1"/>
    <w:rsid w:val="00FB5F0E"/>
    <w:rsid w:val="00FC38AB"/>
    <w:rsid w:val="00FD060B"/>
    <w:rsid w:val="00FD35F3"/>
    <w:rsid w:val="00FD4EBD"/>
    <w:rsid w:val="00FE0C5C"/>
    <w:rsid w:val="00FE2F9C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5EF2-1372-4831-8E95-B8DAF59F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5513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enshulgina</cp:lastModifiedBy>
  <cp:revision>2</cp:revision>
  <cp:lastPrinted>2021-04-20T12:21:00Z</cp:lastPrinted>
  <dcterms:created xsi:type="dcterms:W3CDTF">2021-05-24T12:55:00Z</dcterms:created>
  <dcterms:modified xsi:type="dcterms:W3CDTF">2021-05-24T12:55:00Z</dcterms:modified>
</cp:coreProperties>
</file>