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66" w:type="dxa"/>
        <w:tblInd w:w="5070" w:type="dxa"/>
        <w:tblLook w:val="04A0" w:firstRow="1" w:lastRow="0" w:firstColumn="1" w:lastColumn="0" w:noHBand="0" w:noVBand="1"/>
      </w:tblPr>
      <w:tblGrid>
        <w:gridCol w:w="4666"/>
      </w:tblGrid>
      <w:tr w:rsidR="003248DF" w:rsidRPr="00706458" w:rsidTr="00B359A7">
        <w:tc>
          <w:tcPr>
            <w:tcW w:w="4666" w:type="dxa"/>
            <w:shd w:val="clear" w:color="auto" w:fill="auto"/>
          </w:tcPr>
          <w:p w:rsidR="003248DF" w:rsidRPr="00706458" w:rsidRDefault="003248DF" w:rsidP="004021E8">
            <w:pPr>
              <w:ind w:left="317"/>
              <w:jc w:val="center"/>
              <w:rPr>
                <w:sz w:val="28"/>
                <w:szCs w:val="28"/>
              </w:rPr>
            </w:pPr>
            <w:r>
              <w:br w:type="page"/>
            </w:r>
            <w:r>
              <w:rPr>
                <w:sz w:val="28"/>
                <w:szCs w:val="28"/>
              </w:rPr>
              <w:t>У</w:t>
            </w:r>
            <w:r w:rsidRPr="00706458">
              <w:rPr>
                <w:sz w:val="28"/>
                <w:szCs w:val="28"/>
              </w:rPr>
              <w:t>ТВЕРЖДЕН</w:t>
            </w:r>
            <w:r>
              <w:rPr>
                <w:sz w:val="28"/>
                <w:szCs w:val="28"/>
              </w:rPr>
              <w:t>О</w:t>
            </w:r>
          </w:p>
          <w:p w:rsidR="003248DF" w:rsidRPr="00706458" w:rsidRDefault="003248DF" w:rsidP="004021E8">
            <w:pPr>
              <w:ind w:left="317"/>
              <w:jc w:val="center"/>
              <w:rPr>
                <w:sz w:val="28"/>
                <w:szCs w:val="28"/>
              </w:rPr>
            </w:pPr>
            <w:r w:rsidRPr="00706458">
              <w:rPr>
                <w:sz w:val="28"/>
                <w:szCs w:val="28"/>
              </w:rPr>
              <w:t xml:space="preserve">постановлением </w:t>
            </w:r>
            <w:r>
              <w:rPr>
                <w:sz w:val="28"/>
                <w:szCs w:val="28"/>
              </w:rPr>
              <w:t>а</w:t>
            </w:r>
            <w:r w:rsidRPr="00706458">
              <w:rPr>
                <w:sz w:val="28"/>
                <w:szCs w:val="28"/>
              </w:rPr>
              <w:t>дминистрации</w:t>
            </w:r>
          </w:p>
          <w:p w:rsidR="003248DF" w:rsidRPr="00706458" w:rsidRDefault="003248DF" w:rsidP="004021E8">
            <w:pPr>
              <w:ind w:left="317"/>
              <w:jc w:val="center"/>
              <w:rPr>
                <w:sz w:val="28"/>
                <w:szCs w:val="28"/>
              </w:rPr>
            </w:pPr>
            <w:r w:rsidRPr="00706458">
              <w:rPr>
                <w:sz w:val="28"/>
                <w:szCs w:val="28"/>
              </w:rPr>
              <w:t>городского округа город Воронеж</w:t>
            </w:r>
          </w:p>
          <w:p w:rsidR="003248DF" w:rsidRPr="00706458" w:rsidRDefault="003248DF" w:rsidP="002D4942">
            <w:pPr>
              <w:ind w:left="317"/>
              <w:jc w:val="center"/>
              <w:rPr>
                <w:sz w:val="28"/>
                <w:szCs w:val="28"/>
              </w:rPr>
            </w:pPr>
            <w:r w:rsidRPr="00706458">
              <w:rPr>
                <w:sz w:val="28"/>
                <w:szCs w:val="28"/>
              </w:rPr>
              <w:t>от</w:t>
            </w:r>
            <w:r w:rsidR="007304F5">
              <w:rPr>
                <w:sz w:val="28"/>
                <w:szCs w:val="28"/>
              </w:rPr>
              <w:t xml:space="preserve"> </w:t>
            </w:r>
            <w:r w:rsidR="002D4942">
              <w:rPr>
                <w:sz w:val="28"/>
                <w:szCs w:val="28"/>
              </w:rPr>
              <w:t xml:space="preserve">18.07.2023   </w:t>
            </w:r>
            <w:r w:rsidR="00DD05EF">
              <w:rPr>
                <w:sz w:val="28"/>
                <w:szCs w:val="28"/>
              </w:rPr>
              <w:t xml:space="preserve"> </w:t>
            </w:r>
            <w:r w:rsidRPr="00706458">
              <w:rPr>
                <w:sz w:val="28"/>
                <w:szCs w:val="28"/>
              </w:rPr>
              <w:t>№</w:t>
            </w:r>
            <w:r w:rsidR="002D4942">
              <w:rPr>
                <w:sz w:val="28"/>
                <w:szCs w:val="28"/>
              </w:rPr>
              <w:t xml:space="preserve"> 882</w:t>
            </w:r>
            <w:bookmarkStart w:id="0" w:name="_GoBack"/>
            <w:bookmarkEnd w:id="0"/>
          </w:p>
        </w:tc>
      </w:tr>
    </w:tbl>
    <w:p w:rsidR="003248DF" w:rsidRDefault="003248DF" w:rsidP="003248DF">
      <w:pPr>
        <w:autoSpaceDE w:val="0"/>
        <w:autoSpaceDN w:val="0"/>
        <w:adjustRightInd w:val="0"/>
        <w:jc w:val="center"/>
        <w:rPr>
          <w:b/>
          <w:bCs/>
          <w:sz w:val="28"/>
          <w:szCs w:val="28"/>
          <w:lang w:eastAsia="ru-RU"/>
        </w:rPr>
      </w:pPr>
    </w:p>
    <w:p w:rsidR="003248DF" w:rsidRDefault="003248DF" w:rsidP="003248DF">
      <w:pPr>
        <w:autoSpaceDE w:val="0"/>
        <w:autoSpaceDN w:val="0"/>
        <w:adjustRightInd w:val="0"/>
        <w:jc w:val="center"/>
        <w:rPr>
          <w:b/>
          <w:bCs/>
          <w:sz w:val="28"/>
          <w:szCs w:val="28"/>
          <w:lang w:eastAsia="ru-RU"/>
        </w:rPr>
      </w:pPr>
      <w:r>
        <w:rPr>
          <w:b/>
          <w:bCs/>
          <w:sz w:val="28"/>
          <w:szCs w:val="28"/>
          <w:lang w:eastAsia="ru-RU"/>
        </w:rPr>
        <w:t>Положение</w:t>
      </w:r>
    </w:p>
    <w:p w:rsidR="003248DF" w:rsidRDefault="003248DF" w:rsidP="003248DF">
      <w:pPr>
        <w:autoSpaceDE w:val="0"/>
        <w:autoSpaceDN w:val="0"/>
        <w:adjustRightInd w:val="0"/>
        <w:jc w:val="center"/>
        <w:rPr>
          <w:b/>
          <w:bCs/>
          <w:sz w:val="28"/>
          <w:szCs w:val="28"/>
          <w:lang w:eastAsia="ru-RU"/>
        </w:rPr>
      </w:pPr>
      <w:r>
        <w:rPr>
          <w:b/>
          <w:bCs/>
          <w:sz w:val="28"/>
          <w:szCs w:val="28"/>
          <w:lang w:eastAsia="ru-RU"/>
        </w:rPr>
        <w:t>о комиссии по соблюдению градостроительных норм и правил</w:t>
      </w:r>
    </w:p>
    <w:p w:rsidR="003248DF" w:rsidRDefault="003248DF" w:rsidP="003248DF">
      <w:pPr>
        <w:autoSpaceDE w:val="0"/>
        <w:autoSpaceDN w:val="0"/>
        <w:adjustRightInd w:val="0"/>
        <w:jc w:val="center"/>
        <w:rPr>
          <w:b/>
          <w:bCs/>
          <w:sz w:val="28"/>
          <w:szCs w:val="28"/>
          <w:lang w:eastAsia="ru-RU"/>
        </w:rPr>
      </w:pPr>
      <w:r>
        <w:rPr>
          <w:b/>
          <w:bCs/>
          <w:sz w:val="28"/>
          <w:szCs w:val="28"/>
          <w:lang w:eastAsia="ru-RU"/>
        </w:rPr>
        <w:t>при предоставлении земельных участков для строительства</w:t>
      </w:r>
    </w:p>
    <w:p w:rsidR="003248DF" w:rsidRDefault="003248DF" w:rsidP="003248DF">
      <w:pPr>
        <w:autoSpaceDE w:val="0"/>
        <w:autoSpaceDN w:val="0"/>
        <w:adjustRightInd w:val="0"/>
        <w:jc w:val="both"/>
        <w:outlineLvl w:val="0"/>
        <w:rPr>
          <w:sz w:val="28"/>
          <w:szCs w:val="28"/>
          <w:lang w:eastAsia="ru-RU"/>
        </w:rPr>
      </w:pPr>
    </w:p>
    <w:p w:rsidR="003248DF" w:rsidRDefault="003248DF" w:rsidP="003248DF">
      <w:pPr>
        <w:autoSpaceDE w:val="0"/>
        <w:autoSpaceDN w:val="0"/>
        <w:adjustRightInd w:val="0"/>
        <w:jc w:val="center"/>
        <w:outlineLvl w:val="1"/>
        <w:rPr>
          <w:b/>
          <w:bCs/>
          <w:sz w:val="28"/>
          <w:szCs w:val="28"/>
          <w:lang w:eastAsia="ru-RU"/>
        </w:rPr>
      </w:pPr>
      <w:r>
        <w:rPr>
          <w:b/>
          <w:bCs/>
          <w:sz w:val="28"/>
          <w:szCs w:val="28"/>
          <w:lang w:eastAsia="ru-RU"/>
        </w:rPr>
        <w:t>1. Общие положения</w:t>
      </w:r>
    </w:p>
    <w:p w:rsidR="003248DF" w:rsidRDefault="003248DF" w:rsidP="003248DF">
      <w:pPr>
        <w:autoSpaceDE w:val="0"/>
        <w:autoSpaceDN w:val="0"/>
        <w:adjustRightInd w:val="0"/>
        <w:jc w:val="both"/>
        <w:rPr>
          <w:sz w:val="28"/>
          <w:szCs w:val="28"/>
          <w:lang w:eastAsia="ru-RU"/>
        </w:rPr>
      </w:pP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 xml:space="preserve">1.1. </w:t>
      </w:r>
      <w:proofErr w:type="gramStart"/>
      <w:r>
        <w:rPr>
          <w:sz w:val="28"/>
          <w:szCs w:val="28"/>
          <w:lang w:eastAsia="ru-RU"/>
        </w:rPr>
        <w:t>Комиссия по соблюдению градостроительных норм и правил при предоставлении земельных уча</w:t>
      </w:r>
      <w:r w:rsidR="00A804E6">
        <w:rPr>
          <w:sz w:val="28"/>
          <w:szCs w:val="28"/>
          <w:lang w:eastAsia="ru-RU"/>
        </w:rPr>
        <w:t xml:space="preserve">стков для строительства </w:t>
      </w:r>
      <w:r w:rsidR="00A804E6" w:rsidRPr="007304F5">
        <w:rPr>
          <w:sz w:val="28"/>
          <w:szCs w:val="28"/>
          <w:lang w:eastAsia="ru-RU"/>
        </w:rPr>
        <w:t xml:space="preserve">(далее – </w:t>
      </w:r>
      <w:r w:rsidRPr="007304F5">
        <w:rPr>
          <w:sz w:val="28"/>
          <w:szCs w:val="28"/>
          <w:lang w:eastAsia="ru-RU"/>
        </w:rPr>
        <w:t xml:space="preserve">Комиссия) </w:t>
      </w:r>
      <w:r>
        <w:rPr>
          <w:sz w:val="28"/>
          <w:szCs w:val="28"/>
          <w:lang w:eastAsia="ru-RU"/>
        </w:rPr>
        <w:t>является постоянно действующим коллегиальным органом, созданным в целях определения возможности предоставления юридическим и физическим лицам земельных участков, находящихся в собственности муниципального образования городской округ город Воронеж и расположенных на территории городского округа город Воронеж, для строительства.</w:t>
      </w:r>
      <w:proofErr w:type="gramEnd"/>
    </w:p>
    <w:p w:rsidR="0053441C" w:rsidRPr="0031404E"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 xml:space="preserve">1.2. В своей деятельности Комиссия руководствуется </w:t>
      </w:r>
      <w:hyperlink r:id="rId8" w:history="1">
        <w:r w:rsidRPr="0002007A">
          <w:rPr>
            <w:sz w:val="28"/>
            <w:szCs w:val="28"/>
            <w:lang w:eastAsia="ru-RU"/>
          </w:rPr>
          <w:t>Конституцией</w:t>
        </w:r>
      </w:hyperlink>
      <w:r w:rsidRPr="0002007A">
        <w:rPr>
          <w:sz w:val="28"/>
          <w:szCs w:val="28"/>
          <w:lang w:eastAsia="ru-RU"/>
        </w:rPr>
        <w:t xml:space="preserve"> Российской Федерации, Земельным </w:t>
      </w:r>
      <w:hyperlink r:id="rId9" w:history="1">
        <w:r w:rsidRPr="0002007A">
          <w:rPr>
            <w:sz w:val="28"/>
            <w:szCs w:val="28"/>
            <w:lang w:eastAsia="ru-RU"/>
          </w:rPr>
          <w:t>кодексом</w:t>
        </w:r>
      </w:hyperlink>
      <w:r w:rsidRPr="0002007A">
        <w:rPr>
          <w:sz w:val="28"/>
          <w:szCs w:val="28"/>
          <w:lang w:eastAsia="ru-RU"/>
        </w:rPr>
        <w:t xml:space="preserve"> Российской Фе</w:t>
      </w:r>
      <w:r>
        <w:rPr>
          <w:sz w:val="28"/>
          <w:szCs w:val="28"/>
          <w:lang w:eastAsia="ru-RU"/>
        </w:rPr>
        <w:t xml:space="preserve">дерации, федеральными законами и иными нормативными правовыми актами Российской Федерации, законами и иными нормативными правовыми актами Воронежской </w:t>
      </w:r>
      <w:r w:rsidRPr="0002007A">
        <w:rPr>
          <w:sz w:val="28"/>
          <w:szCs w:val="28"/>
          <w:lang w:eastAsia="ru-RU"/>
        </w:rPr>
        <w:t>области,</w:t>
      </w:r>
      <w:r w:rsidRPr="008B7B53">
        <w:rPr>
          <w:color w:val="FF0000"/>
          <w:sz w:val="28"/>
          <w:szCs w:val="28"/>
          <w:lang w:eastAsia="ru-RU"/>
        </w:rPr>
        <w:t xml:space="preserve"> </w:t>
      </w:r>
      <w:r w:rsidRPr="0031404E">
        <w:rPr>
          <w:sz w:val="28"/>
          <w:szCs w:val="28"/>
          <w:lang w:eastAsia="ru-RU"/>
        </w:rPr>
        <w:t>Уставом городского округа город Воронеж, правовыми актами органов местного самоуправления городского округа город Воронеж, а также настоящим Положением.</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1.3. Основными задачами Комиссии является рассмотрение вопросов:</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 xml:space="preserve">- о возможности образования земельных участков, формирующих облик городского округа город Воронеж, для строительства в заявленных целях; </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 xml:space="preserve">- о сложившейся градостроительной ситуации в отношении земельных участков, стоящих на государственном кадастровом учете; </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 xml:space="preserve">- о возможности изменения вида разрешенного использования земельных участков в рамках предоставления земельных участков; </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 о возможности расторжения договоров аренды земельных участков;</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 xml:space="preserve">- о возможности изъятия у собственников в установленном действующим законодательством порядке объектов незавершенного строительства в случае </w:t>
      </w:r>
      <w:proofErr w:type="gramStart"/>
      <w:r>
        <w:rPr>
          <w:sz w:val="28"/>
          <w:szCs w:val="28"/>
          <w:lang w:eastAsia="ru-RU"/>
        </w:rPr>
        <w:t>прекращения действия договоров аренды земельных участков</w:t>
      </w:r>
      <w:proofErr w:type="gramEnd"/>
      <w:r>
        <w:rPr>
          <w:sz w:val="28"/>
          <w:szCs w:val="28"/>
          <w:lang w:eastAsia="ru-RU"/>
        </w:rPr>
        <w:t xml:space="preserve">; </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 рассмотрение предложений по дальнейшему вовлечению в гражданский оборот земельных участков, срок действия договоров аренды по которым истекает.</w:t>
      </w:r>
    </w:p>
    <w:p w:rsidR="0053441C" w:rsidRDefault="0053441C" w:rsidP="0053441C">
      <w:pPr>
        <w:autoSpaceDE w:val="0"/>
        <w:autoSpaceDN w:val="0"/>
        <w:adjustRightInd w:val="0"/>
        <w:jc w:val="both"/>
        <w:rPr>
          <w:sz w:val="28"/>
          <w:szCs w:val="28"/>
          <w:lang w:eastAsia="ru-RU"/>
        </w:rPr>
      </w:pPr>
    </w:p>
    <w:p w:rsidR="0053441C" w:rsidRDefault="0053441C" w:rsidP="0053441C">
      <w:pPr>
        <w:autoSpaceDE w:val="0"/>
        <w:autoSpaceDN w:val="0"/>
        <w:adjustRightInd w:val="0"/>
        <w:jc w:val="center"/>
        <w:outlineLvl w:val="1"/>
        <w:rPr>
          <w:b/>
          <w:bCs/>
          <w:sz w:val="28"/>
          <w:szCs w:val="28"/>
          <w:lang w:eastAsia="ru-RU"/>
        </w:rPr>
      </w:pPr>
      <w:r>
        <w:rPr>
          <w:b/>
          <w:bCs/>
          <w:sz w:val="28"/>
          <w:szCs w:val="28"/>
          <w:lang w:eastAsia="ru-RU"/>
        </w:rPr>
        <w:t>2. Порядок работы Комиссии</w:t>
      </w:r>
    </w:p>
    <w:p w:rsidR="0053441C" w:rsidRDefault="0053441C" w:rsidP="0053441C">
      <w:pPr>
        <w:autoSpaceDE w:val="0"/>
        <w:autoSpaceDN w:val="0"/>
        <w:adjustRightInd w:val="0"/>
        <w:jc w:val="both"/>
        <w:rPr>
          <w:sz w:val="28"/>
          <w:szCs w:val="28"/>
          <w:lang w:eastAsia="ru-RU"/>
        </w:rPr>
      </w:pP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2.1. Основной формой работы Комиссии являются заседания.</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 xml:space="preserve">2.2. Заседания Комиссии проводит председатель Комиссии, а в случае его </w:t>
      </w:r>
      <w:r w:rsidR="00A804E6" w:rsidRPr="007304F5">
        <w:rPr>
          <w:sz w:val="28"/>
          <w:szCs w:val="28"/>
          <w:lang w:eastAsia="ru-RU"/>
        </w:rPr>
        <w:t>отсутствия –</w:t>
      </w:r>
      <w:r w:rsidRPr="007304F5">
        <w:rPr>
          <w:sz w:val="28"/>
          <w:szCs w:val="28"/>
          <w:lang w:eastAsia="ru-RU"/>
        </w:rPr>
        <w:t xml:space="preserve"> заместитель председателя Комиссии. Заседания проводятся по мере необходимости. Место и время заседания Комиссии определяет председатель Комиссии, в случае его </w:t>
      </w:r>
      <w:r w:rsidR="00A804E6" w:rsidRPr="007304F5">
        <w:rPr>
          <w:sz w:val="28"/>
          <w:szCs w:val="28"/>
          <w:lang w:eastAsia="ru-RU"/>
        </w:rPr>
        <w:t>отсутствия –</w:t>
      </w:r>
      <w:r w:rsidRPr="007304F5">
        <w:rPr>
          <w:sz w:val="28"/>
          <w:szCs w:val="28"/>
          <w:lang w:eastAsia="ru-RU"/>
        </w:rPr>
        <w:t xml:space="preserve"> заместитель </w:t>
      </w:r>
      <w:r>
        <w:rPr>
          <w:sz w:val="28"/>
          <w:szCs w:val="28"/>
          <w:lang w:eastAsia="ru-RU"/>
        </w:rPr>
        <w:t>председателя Комиссии.</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Деятельность Комиссии обеспечивается управлением имущественных и земельных отношений администрации городского округа город Воронеж.</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2.3. Вопросы для рассмотрения на заседании Комиссии выносятся управлением имущественных и земельных отношений администрации городского округа город Воронеж.</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 xml:space="preserve">Информация о дате, времени и месте проведения заседания Комиссии с повесткой заседания, а также материалами в отношении земельных участков, вопросы о которых планируется рассмотреть, направляется членам Комиссии не </w:t>
      </w:r>
      <w:proofErr w:type="gramStart"/>
      <w:r>
        <w:rPr>
          <w:sz w:val="28"/>
          <w:szCs w:val="28"/>
          <w:lang w:eastAsia="ru-RU"/>
        </w:rPr>
        <w:t>позднее</w:t>
      </w:r>
      <w:proofErr w:type="gramEnd"/>
      <w:r>
        <w:rPr>
          <w:sz w:val="28"/>
          <w:szCs w:val="28"/>
          <w:lang w:eastAsia="ru-RU"/>
        </w:rPr>
        <w:t xml:space="preserve"> чем за 5 календарных дней до даты проведения заседания Комиссии.</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2.4. Заседание Комиссии считается правомочным, если на нем присутствует более половины ее состава.</w:t>
      </w:r>
    </w:p>
    <w:p w:rsidR="0053441C" w:rsidRDefault="0053441C" w:rsidP="0053441C">
      <w:pPr>
        <w:autoSpaceDE w:val="0"/>
        <w:autoSpaceDN w:val="0"/>
        <w:adjustRightInd w:val="0"/>
        <w:spacing w:line="360" w:lineRule="auto"/>
        <w:ind w:firstLine="709"/>
        <w:jc w:val="both"/>
        <w:rPr>
          <w:sz w:val="28"/>
          <w:szCs w:val="28"/>
          <w:lang w:eastAsia="ru-RU"/>
        </w:rPr>
      </w:pPr>
      <w:r>
        <w:rPr>
          <w:sz w:val="28"/>
          <w:szCs w:val="28"/>
          <w:lang w:eastAsia="ru-RU"/>
        </w:rPr>
        <w:t xml:space="preserve">Решение Комиссии принимается большинством голосов путем открытого голосования. При равенстве голосов решающим является голос председателя Комиссии, а в случае его </w:t>
      </w:r>
      <w:r w:rsidR="00A804E6" w:rsidRPr="007304F5">
        <w:rPr>
          <w:sz w:val="28"/>
          <w:szCs w:val="28"/>
          <w:lang w:eastAsia="ru-RU"/>
        </w:rPr>
        <w:t>отсутствия –</w:t>
      </w:r>
      <w:r w:rsidRPr="007304F5">
        <w:rPr>
          <w:sz w:val="28"/>
          <w:szCs w:val="28"/>
          <w:lang w:eastAsia="ru-RU"/>
        </w:rPr>
        <w:t xml:space="preserve"> голос заместителя </w:t>
      </w:r>
      <w:r>
        <w:rPr>
          <w:sz w:val="28"/>
          <w:szCs w:val="28"/>
          <w:lang w:eastAsia="ru-RU"/>
        </w:rPr>
        <w:t>председателя Комиссии.</w:t>
      </w:r>
    </w:p>
    <w:p w:rsidR="0053441C" w:rsidRDefault="0053441C" w:rsidP="0053441C">
      <w:pPr>
        <w:autoSpaceDE w:val="0"/>
        <w:autoSpaceDN w:val="0"/>
        <w:adjustRightInd w:val="0"/>
        <w:spacing w:line="360" w:lineRule="auto"/>
        <w:ind w:firstLine="540"/>
        <w:jc w:val="both"/>
        <w:rPr>
          <w:sz w:val="28"/>
          <w:szCs w:val="28"/>
          <w:lang w:eastAsia="ru-RU"/>
        </w:rPr>
      </w:pPr>
      <w:r>
        <w:rPr>
          <w:sz w:val="28"/>
          <w:szCs w:val="28"/>
          <w:lang w:eastAsia="ru-RU"/>
        </w:rPr>
        <w:t>В случае возникновения разногласий у членов Комиссии при рассмотрении вопросов о возможности предоставления земельных участков Комиссия откладывает рассмотрение данного вопроса не более чем на 15 рабочих дней с целью дополнительного изучения материалов, а также дает поручение по предоставлению дополнительных сведений и данных, которые необходимы для последующего принятия решения.</w:t>
      </w:r>
    </w:p>
    <w:p w:rsidR="0053441C" w:rsidRDefault="0053441C" w:rsidP="0053441C">
      <w:pPr>
        <w:autoSpaceDE w:val="0"/>
        <w:autoSpaceDN w:val="0"/>
        <w:adjustRightInd w:val="0"/>
        <w:spacing w:line="360" w:lineRule="auto"/>
        <w:ind w:firstLine="540"/>
        <w:jc w:val="both"/>
        <w:rPr>
          <w:sz w:val="28"/>
          <w:szCs w:val="28"/>
          <w:lang w:eastAsia="ru-RU"/>
        </w:rPr>
      </w:pPr>
      <w:r>
        <w:rPr>
          <w:sz w:val="28"/>
          <w:szCs w:val="28"/>
          <w:lang w:eastAsia="ru-RU"/>
        </w:rPr>
        <w:t>До голосования член Комиссии обязан заявить самоотвод, если он лично, прямо или косвенно заинтересован в исходе голосования, и информировать о наличии таких обстоятельств секретаря Комиссии. При поступлении такой информации секретарь Комиссии обязан известить о ней лиц, присутствующих на заседании.</w:t>
      </w:r>
    </w:p>
    <w:p w:rsidR="0053441C" w:rsidRDefault="0053441C" w:rsidP="0053441C">
      <w:pPr>
        <w:autoSpaceDE w:val="0"/>
        <w:autoSpaceDN w:val="0"/>
        <w:adjustRightInd w:val="0"/>
        <w:spacing w:line="360" w:lineRule="auto"/>
        <w:ind w:firstLine="540"/>
        <w:jc w:val="both"/>
        <w:rPr>
          <w:sz w:val="28"/>
          <w:szCs w:val="28"/>
          <w:lang w:eastAsia="ru-RU"/>
        </w:rPr>
      </w:pPr>
      <w:r>
        <w:rPr>
          <w:sz w:val="28"/>
          <w:szCs w:val="28"/>
          <w:lang w:eastAsia="ru-RU"/>
        </w:rPr>
        <w:t>В случае если член Комиссии не заявляет самоотвод в связи с наличием обстоятельств, указанных в абзаце четвертом настоящего пункта, то любой из членов Комиссии вправе заявить об отводе члена Комиссии. В этом случае решение об отводе члена Комиссии считается принятым, если за него проголосовало более половины присутствующих на заседании членов Комиссии либо если при равенстве голосов членов Комиссии председательствующий на заседании голосовал за принятие решения об отводе члена Комиссии.</w:t>
      </w:r>
    </w:p>
    <w:p w:rsidR="0053441C" w:rsidRDefault="0053441C" w:rsidP="003C0C98">
      <w:pPr>
        <w:autoSpaceDE w:val="0"/>
        <w:autoSpaceDN w:val="0"/>
        <w:adjustRightInd w:val="0"/>
        <w:spacing w:line="360" w:lineRule="auto"/>
        <w:ind w:firstLine="539"/>
        <w:jc w:val="both"/>
        <w:rPr>
          <w:sz w:val="28"/>
          <w:szCs w:val="28"/>
          <w:lang w:eastAsia="ru-RU"/>
        </w:rPr>
      </w:pPr>
      <w:r>
        <w:rPr>
          <w:sz w:val="28"/>
          <w:szCs w:val="28"/>
          <w:lang w:eastAsia="ru-RU"/>
        </w:rPr>
        <w:t xml:space="preserve">2.5. Решение Комиссии оформляется протоколом, который подписывается председателем Комиссии (в случае его </w:t>
      </w:r>
      <w:r w:rsidR="00A804E6" w:rsidRPr="007304F5">
        <w:rPr>
          <w:sz w:val="28"/>
          <w:szCs w:val="28"/>
          <w:lang w:eastAsia="ru-RU"/>
        </w:rPr>
        <w:t>отсутствия –</w:t>
      </w:r>
      <w:r w:rsidRPr="007304F5">
        <w:rPr>
          <w:sz w:val="28"/>
          <w:szCs w:val="28"/>
          <w:lang w:eastAsia="ru-RU"/>
        </w:rPr>
        <w:t xml:space="preserve"> </w:t>
      </w:r>
      <w:r>
        <w:rPr>
          <w:sz w:val="28"/>
          <w:szCs w:val="28"/>
          <w:lang w:eastAsia="ru-RU"/>
        </w:rPr>
        <w:t>заместителем председателя Комиссии) на заседании Комиссии и секретарем заседания Комиссии и рассылается всем членам Комиссии.</w:t>
      </w:r>
    </w:p>
    <w:p w:rsidR="0053441C" w:rsidRDefault="0053441C" w:rsidP="003C0C98">
      <w:pPr>
        <w:autoSpaceDE w:val="0"/>
        <w:autoSpaceDN w:val="0"/>
        <w:adjustRightInd w:val="0"/>
        <w:spacing w:line="360" w:lineRule="auto"/>
        <w:ind w:firstLine="539"/>
        <w:jc w:val="both"/>
        <w:rPr>
          <w:sz w:val="28"/>
          <w:szCs w:val="28"/>
          <w:lang w:eastAsia="ru-RU"/>
        </w:rPr>
      </w:pPr>
      <w:r>
        <w:rPr>
          <w:sz w:val="28"/>
          <w:szCs w:val="28"/>
          <w:lang w:eastAsia="ru-RU"/>
        </w:rPr>
        <w:t>Решения Комиссии носят рекомендательный характер.</w:t>
      </w:r>
    </w:p>
    <w:p w:rsidR="0053441C" w:rsidRDefault="0053441C" w:rsidP="003C0C98">
      <w:pPr>
        <w:autoSpaceDE w:val="0"/>
        <w:autoSpaceDN w:val="0"/>
        <w:adjustRightInd w:val="0"/>
        <w:spacing w:line="360" w:lineRule="auto"/>
        <w:ind w:firstLine="539"/>
        <w:jc w:val="both"/>
        <w:rPr>
          <w:sz w:val="28"/>
          <w:szCs w:val="28"/>
          <w:lang w:eastAsia="ru-RU"/>
        </w:rPr>
      </w:pPr>
      <w:r>
        <w:rPr>
          <w:sz w:val="28"/>
          <w:szCs w:val="28"/>
          <w:lang w:eastAsia="ru-RU"/>
        </w:rPr>
        <w:t>Первые экземпляры протоколов заседаний Комиссии хранятся у секретаря Комиссии.</w:t>
      </w:r>
    </w:p>
    <w:p w:rsidR="003248DF" w:rsidRDefault="003248DF" w:rsidP="003248DF">
      <w:pPr>
        <w:autoSpaceDE w:val="0"/>
        <w:autoSpaceDN w:val="0"/>
        <w:adjustRightInd w:val="0"/>
        <w:jc w:val="both"/>
        <w:rPr>
          <w:sz w:val="28"/>
          <w:szCs w:val="28"/>
          <w:lang w:eastAsia="ru-RU"/>
        </w:rPr>
      </w:pPr>
      <w:r>
        <w:rPr>
          <w:sz w:val="28"/>
          <w:szCs w:val="28"/>
          <w:lang w:eastAsia="ru-RU"/>
        </w:rPr>
        <w:t>Руководитель управления</w:t>
      </w:r>
    </w:p>
    <w:p w:rsidR="003248DF" w:rsidRDefault="003248DF" w:rsidP="007B5935">
      <w:pPr>
        <w:autoSpaceDE w:val="0"/>
        <w:autoSpaceDN w:val="0"/>
        <w:adjustRightInd w:val="0"/>
        <w:jc w:val="both"/>
      </w:pPr>
      <w:r>
        <w:rPr>
          <w:sz w:val="28"/>
          <w:szCs w:val="28"/>
          <w:lang w:eastAsia="ru-RU"/>
        </w:rPr>
        <w:t>имущественных и земельных отношений                                          К.Л. Галоян</w:t>
      </w:r>
    </w:p>
    <w:sectPr w:rsidR="003248DF" w:rsidSect="00821A80">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88C" w:rsidRDefault="0094788C" w:rsidP="00821A80">
      <w:r>
        <w:separator/>
      </w:r>
    </w:p>
  </w:endnote>
  <w:endnote w:type="continuationSeparator" w:id="0">
    <w:p w:rsidR="0094788C" w:rsidRDefault="0094788C" w:rsidP="0082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88C" w:rsidRDefault="0094788C" w:rsidP="00821A80">
      <w:r>
        <w:separator/>
      </w:r>
    </w:p>
  </w:footnote>
  <w:footnote w:type="continuationSeparator" w:id="0">
    <w:p w:rsidR="0094788C" w:rsidRDefault="0094788C" w:rsidP="00821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759764"/>
      <w:docPartObj>
        <w:docPartGallery w:val="Page Numbers (Top of Page)"/>
        <w:docPartUnique/>
      </w:docPartObj>
    </w:sdtPr>
    <w:sdtEndPr/>
    <w:sdtContent>
      <w:p w:rsidR="00821A80" w:rsidRDefault="00821A80">
        <w:pPr>
          <w:pStyle w:val="a4"/>
          <w:jc w:val="center"/>
        </w:pPr>
        <w:r>
          <w:fldChar w:fldCharType="begin"/>
        </w:r>
        <w:r>
          <w:instrText>PAGE   \* MERGEFORMAT</w:instrText>
        </w:r>
        <w:r>
          <w:fldChar w:fldCharType="separate"/>
        </w:r>
        <w:r w:rsidR="002D4942">
          <w:rPr>
            <w:noProof/>
          </w:rPr>
          <w:t>2</w:t>
        </w:r>
        <w:r>
          <w:fldChar w:fldCharType="end"/>
        </w:r>
      </w:p>
    </w:sdtContent>
  </w:sdt>
  <w:p w:rsidR="00821A80" w:rsidRDefault="00821A8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5FAAFC2"/>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A0"/>
    <w:rsid w:val="000F4710"/>
    <w:rsid w:val="001C651F"/>
    <w:rsid w:val="002078EF"/>
    <w:rsid w:val="0024692B"/>
    <w:rsid w:val="002B1FC5"/>
    <w:rsid w:val="002D4942"/>
    <w:rsid w:val="003248DF"/>
    <w:rsid w:val="003563D4"/>
    <w:rsid w:val="003C0C98"/>
    <w:rsid w:val="004021E8"/>
    <w:rsid w:val="0053441C"/>
    <w:rsid w:val="005E0820"/>
    <w:rsid w:val="007304F5"/>
    <w:rsid w:val="007B5935"/>
    <w:rsid w:val="007F7157"/>
    <w:rsid w:val="00821A80"/>
    <w:rsid w:val="0094788C"/>
    <w:rsid w:val="00A804E6"/>
    <w:rsid w:val="00BD6286"/>
    <w:rsid w:val="00DD05EF"/>
    <w:rsid w:val="00E25531"/>
    <w:rsid w:val="00E93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8D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rsid w:val="003248DF"/>
    <w:pPr>
      <w:ind w:left="283" w:hanging="283"/>
    </w:pPr>
  </w:style>
  <w:style w:type="paragraph" w:styleId="2">
    <w:name w:val="Body Text 2"/>
    <w:basedOn w:val="a"/>
    <w:link w:val="20"/>
    <w:rsid w:val="003248DF"/>
    <w:pPr>
      <w:spacing w:line="360" w:lineRule="auto"/>
      <w:jc w:val="both"/>
    </w:pPr>
    <w:rPr>
      <w:rFonts w:ascii="Arial" w:hAnsi="Arial"/>
      <w:sz w:val="24"/>
      <w:lang w:val="x-none"/>
    </w:rPr>
  </w:style>
  <w:style w:type="character" w:customStyle="1" w:styleId="20">
    <w:name w:val="Основной текст 2 Знак"/>
    <w:basedOn w:val="a0"/>
    <w:link w:val="2"/>
    <w:rsid w:val="003248DF"/>
    <w:rPr>
      <w:rFonts w:ascii="Arial" w:eastAsia="Times New Roman" w:hAnsi="Arial" w:cs="Times New Roman"/>
      <w:sz w:val="24"/>
      <w:szCs w:val="20"/>
      <w:lang w:val="x-none"/>
    </w:rPr>
  </w:style>
  <w:style w:type="paragraph" w:styleId="a4">
    <w:name w:val="header"/>
    <w:basedOn w:val="a"/>
    <w:link w:val="a5"/>
    <w:uiPriority w:val="99"/>
    <w:unhideWhenUsed/>
    <w:rsid w:val="00821A80"/>
    <w:pPr>
      <w:tabs>
        <w:tab w:val="center" w:pos="4677"/>
        <w:tab w:val="right" w:pos="9355"/>
      </w:tabs>
    </w:pPr>
  </w:style>
  <w:style w:type="character" w:customStyle="1" w:styleId="a5">
    <w:name w:val="Верхний колонтитул Знак"/>
    <w:basedOn w:val="a0"/>
    <w:link w:val="a4"/>
    <w:uiPriority w:val="99"/>
    <w:rsid w:val="00821A80"/>
    <w:rPr>
      <w:rFonts w:ascii="Times New Roman" w:eastAsia="Times New Roman" w:hAnsi="Times New Roman" w:cs="Times New Roman"/>
      <w:sz w:val="20"/>
      <w:szCs w:val="20"/>
    </w:rPr>
  </w:style>
  <w:style w:type="paragraph" w:styleId="a6">
    <w:name w:val="footer"/>
    <w:basedOn w:val="a"/>
    <w:link w:val="a7"/>
    <w:uiPriority w:val="99"/>
    <w:unhideWhenUsed/>
    <w:rsid w:val="00821A80"/>
    <w:pPr>
      <w:tabs>
        <w:tab w:val="center" w:pos="4677"/>
        <w:tab w:val="right" w:pos="9355"/>
      </w:tabs>
    </w:pPr>
  </w:style>
  <w:style w:type="character" w:customStyle="1" w:styleId="a7">
    <w:name w:val="Нижний колонтитул Знак"/>
    <w:basedOn w:val="a0"/>
    <w:link w:val="a6"/>
    <w:uiPriority w:val="99"/>
    <w:rsid w:val="00821A80"/>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821A80"/>
    <w:rPr>
      <w:rFonts w:ascii="Tahoma" w:hAnsi="Tahoma" w:cs="Tahoma"/>
      <w:sz w:val="16"/>
      <w:szCs w:val="16"/>
    </w:rPr>
  </w:style>
  <w:style w:type="character" w:customStyle="1" w:styleId="a9">
    <w:name w:val="Текст выноски Знак"/>
    <w:basedOn w:val="a0"/>
    <w:link w:val="a8"/>
    <w:uiPriority w:val="99"/>
    <w:semiHidden/>
    <w:rsid w:val="00821A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8D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rsid w:val="003248DF"/>
    <w:pPr>
      <w:ind w:left="283" w:hanging="283"/>
    </w:pPr>
  </w:style>
  <w:style w:type="paragraph" w:styleId="2">
    <w:name w:val="Body Text 2"/>
    <w:basedOn w:val="a"/>
    <w:link w:val="20"/>
    <w:rsid w:val="003248DF"/>
    <w:pPr>
      <w:spacing w:line="360" w:lineRule="auto"/>
      <w:jc w:val="both"/>
    </w:pPr>
    <w:rPr>
      <w:rFonts w:ascii="Arial" w:hAnsi="Arial"/>
      <w:sz w:val="24"/>
      <w:lang w:val="x-none"/>
    </w:rPr>
  </w:style>
  <w:style w:type="character" w:customStyle="1" w:styleId="20">
    <w:name w:val="Основной текст 2 Знак"/>
    <w:basedOn w:val="a0"/>
    <w:link w:val="2"/>
    <w:rsid w:val="003248DF"/>
    <w:rPr>
      <w:rFonts w:ascii="Arial" w:eastAsia="Times New Roman" w:hAnsi="Arial" w:cs="Times New Roman"/>
      <w:sz w:val="24"/>
      <w:szCs w:val="20"/>
      <w:lang w:val="x-none"/>
    </w:rPr>
  </w:style>
  <w:style w:type="paragraph" w:styleId="a4">
    <w:name w:val="header"/>
    <w:basedOn w:val="a"/>
    <w:link w:val="a5"/>
    <w:uiPriority w:val="99"/>
    <w:unhideWhenUsed/>
    <w:rsid w:val="00821A80"/>
    <w:pPr>
      <w:tabs>
        <w:tab w:val="center" w:pos="4677"/>
        <w:tab w:val="right" w:pos="9355"/>
      </w:tabs>
    </w:pPr>
  </w:style>
  <w:style w:type="character" w:customStyle="1" w:styleId="a5">
    <w:name w:val="Верхний колонтитул Знак"/>
    <w:basedOn w:val="a0"/>
    <w:link w:val="a4"/>
    <w:uiPriority w:val="99"/>
    <w:rsid w:val="00821A80"/>
    <w:rPr>
      <w:rFonts w:ascii="Times New Roman" w:eastAsia="Times New Roman" w:hAnsi="Times New Roman" w:cs="Times New Roman"/>
      <w:sz w:val="20"/>
      <w:szCs w:val="20"/>
    </w:rPr>
  </w:style>
  <w:style w:type="paragraph" w:styleId="a6">
    <w:name w:val="footer"/>
    <w:basedOn w:val="a"/>
    <w:link w:val="a7"/>
    <w:uiPriority w:val="99"/>
    <w:unhideWhenUsed/>
    <w:rsid w:val="00821A80"/>
    <w:pPr>
      <w:tabs>
        <w:tab w:val="center" w:pos="4677"/>
        <w:tab w:val="right" w:pos="9355"/>
      </w:tabs>
    </w:pPr>
  </w:style>
  <w:style w:type="character" w:customStyle="1" w:styleId="a7">
    <w:name w:val="Нижний колонтитул Знак"/>
    <w:basedOn w:val="a0"/>
    <w:link w:val="a6"/>
    <w:uiPriority w:val="99"/>
    <w:rsid w:val="00821A80"/>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821A80"/>
    <w:rPr>
      <w:rFonts w:ascii="Tahoma" w:hAnsi="Tahoma" w:cs="Tahoma"/>
      <w:sz w:val="16"/>
      <w:szCs w:val="16"/>
    </w:rPr>
  </w:style>
  <w:style w:type="character" w:customStyle="1" w:styleId="a9">
    <w:name w:val="Текст выноски Знак"/>
    <w:basedOn w:val="a0"/>
    <w:link w:val="a8"/>
    <w:uiPriority w:val="99"/>
    <w:semiHidden/>
    <w:rsid w:val="00821A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1B04AFEAC1078C055B2081D2F00D7D268F0E18D6BA9174D6273692BE688739CE086A8B7C4D3470969923bEJD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01B04AFEAC1078C055B2081D2F00D7D2687091FDCECC67687723897B638DD29CA413E87634C2D6E938723EE2BbEJ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Ю.А.</dc:creator>
  <cp:lastModifiedBy>Шульгина</cp:lastModifiedBy>
  <cp:revision>2</cp:revision>
  <cp:lastPrinted>2023-07-18T08:52:00Z</cp:lastPrinted>
  <dcterms:created xsi:type="dcterms:W3CDTF">2023-07-19T09:15:00Z</dcterms:created>
  <dcterms:modified xsi:type="dcterms:W3CDTF">2023-07-19T09:15:00Z</dcterms:modified>
</cp:coreProperties>
</file>