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УТВЕРЖДЕНЫ</w:t>
      </w:r>
    </w:p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распоряжением администрации</w:t>
      </w:r>
    </w:p>
    <w:p w:rsidR="00C1389B" w:rsidRPr="00E2744E" w:rsidRDefault="00C1389B" w:rsidP="00B245B1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городского округа город Воронеж</w:t>
      </w:r>
    </w:p>
    <w:p w:rsidR="00C1389B" w:rsidRDefault="00C1389B" w:rsidP="00B245B1">
      <w:pPr>
        <w:tabs>
          <w:tab w:val="left" w:pos="7170"/>
        </w:tabs>
        <w:spacing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C503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15.09.2020   </w:t>
      </w:r>
      <w:r w:rsidR="004C09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503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430-р</w:t>
      </w:r>
      <w:bookmarkStart w:id="0" w:name="_GoBack"/>
      <w:bookmarkEnd w:id="0"/>
    </w:p>
    <w:p w:rsidR="00B245B1" w:rsidRDefault="00B245B1" w:rsidP="00B245B1">
      <w:pPr>
        <w:tabs>
          <w:tab w:val="left" w:pos="7170"/>
        </w:tabs>
        <w:spacing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D66A3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НОРМАТИВНЫЕ ЗАТРАТЫ НА ОБЕСПЕЧЕНИЕ ФУНКЦИЙ МУНИЦИПАЛЬНОГО КАЗЕННОГО УЧРЕЖДЕНИЯ </w:t>
      </w:r>
    </w:p>
    <w:p w:rsidR="009D66A3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97618A"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  <w:t xml:space="preserve">ГОРОДСКОГО ОКРУГА ГОРОД ВОРОНЕЖ </w:t>
      </w:r>
    </w:p>
    <w:p w:rsidR="00C1389B" w:rsidRPr="0097618A" w:rsidRDefault="00C1389B" w:rsidP="00B245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/>
          <w:sz w:val="28"/>
          <w:szCs w:val="28"/>
          <w:shd w:val="clear" w:color="auto" w:fill="FFFFFF"/>
        </w:rPr>
        <w:t>«АГЕНТСТВО ПО СОЗДАНИЮ И РАЗВИТИЮ СИСТЕМЫ УПРАВЛЕНИЯ ПРОЕКТНОЙ ДЕЯТЕЛЬНОСТЬЮ»</w:t>
      </w:r>
    </w:p>
    <w:p w:rsidR="00C1389B" w:rsidRPr="0097618A" w:rsidRDefault="00C1389B" w:rsidP="00B245B1">
      <w:pPr>
        <w:widowControl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B245B1">
      <w:pPr>
        <w:widowControl w:val="0"/>
        <w:numPr>
          <w:ilvl w:val="0"/>
          <w:numId w:val="1"/>
        </w:numPr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ОБЩИЕ ПОЛОЖЕНИЯ</w:t>
      </w:r>
    </w:p>
    <w:p w:rsidR="00C1389B" w:rsidRPr="0097618A" w:rsidRDefault="00C1389B" w:rsidP="00B245B1">
      <w:pPr>
        <w:widowControl w:val="0"/>
        <w:adjustRightInd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1.1. Нормативные затраты </w:t>
      </w:r>
      <w:r w:rsidR="009D66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обеспечение функций муниципального казенного учреждения городского округа город Воронеж «Агентство по созданию и развитию системы управления проектной деятельностью» </w:t>
      </w:r>
      <w:r w:rsidR="009B1CD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="009D66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(далее – нормативные затраты)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применяются для обоснования объемов объекта и (или) объектов закупки муниципального казенного учреждения городского округа город Воронеж «Агентство по созданию и развитию системы управления проектной деятельностью» (далее – учреждение).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1.2. Общий объем затрат, связанных с закупкой товаров, работ, услуг, рассчитанный на основе </w:t>
      </w:r>
      <w:r w:rsidR="009D66A3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1.3.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numPr>
          <w:ilvl w:val="0"/>
          <w:numId w:val="1"/>
        </w:numPr>
        <w:tabs>
          <w:tab w:val="left" w:pos="6330"/>
        </w:tabs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ВИДЫ И СОСТАВ НОРМАТИВНЫХ ЗАТРАТ</w:t>
      </w:r>
    </w:p>
    <w:p w:rsidR="00C1389B" w:rsidRPr="0097618A" w:rsidRDefault="00C1389B" w:rsidP="00C1389B">
      <w:pPr>
        <w:widowControl w:val="0"/>
        <w:tabs>
          <w:tab w:val="left" w:pos="6330"/>
        </w:tabs>
        <w:adjustRightInd w:val="0"/>
        <w:spacing w:after="0" w:line="36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дополнительное профессиональное образование работников;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прочие затраты.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(Ч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), который определяется по формуле: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х </m:t>
        </m:r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1,1,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фактическая численность работников;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1,1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коэффициент, который может быть использован на случай замещения вакантных должностей.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Категории должностей: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водители автомобилей;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ремонтные рабочие;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младший обслуживающий персонал;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руководители, специалисты и служащие.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случае если полученное значение расчетной численности превышает значение фактической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УСЛУГИ СВЯЗИ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услуги связи </w:t>
      </w: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position w:val="-14"/>
          <w:sz w:val="28"/>
          <w:szCs w:val="28"/>
          <w:lang w:eastAsia="ru-RU"/>
        </w:rPr>
        <w:drawing>
          <wp:inline distT="0" distB="0" distL="0" distR="0" wp14:anchorId="5180D564" wp14:editId="568741A8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DEEAC31" wp14:editId="68508554">
            <wp:extent cx="1378424" cy="395785"/>
            <wp:effectExtent l="0" t="0" r="0" b="0"/>
            <wp:docPr id="10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почтовой связи;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специальной связи.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услуги связи, представлены в таблице № 1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абонентскую плату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417C3D3" wp14:editId="4EC06D76">
            <wp:extent cx="2238375" cy="561975"/>
            <wp:effectExtent l="0" t="0" r="0" b="0"/>
            <wp:docPr id="11" name="Рисунок 11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пользовательского (оконечного) оборудования, подключенных к сети местной телефонной связи и используемых для передачи голосовой информации (далее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H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ежемесячная i-я абонентская плата в расчете на 1 абонентский номер для передачи голосовой информации;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месяцев предоставления услуги с i-й абонентской платой.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абонентскую плату, представлены в таблице № 2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3.3.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повременную оплату междугородних телефонных соединений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повмг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</m:e>
        </m:nary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  i-м тарифом;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S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минуты разговора при междугородних телефонных соединениях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количество месяцев предоставления услуги междугородней телефонной связи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повременную оплату междугородних телефонных соединений, представлены в таблице № 3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</w:t>
      </w:r>
    </w:p>
    <w:p w:rsidR="00C1389B" w:rsidRPr="0097618A" w:rsidRDefault="00C1389B" w:rsidP="00AF455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ОСНОВНЫХ СРЕДСТВ</w:t>
      </w:r>
    </w:p>
    <w:p w:rsidR="00C1389B" w:rsidRPr="0097618A" w:rsidRDefault="00C1389B" w:rsidP="00C1389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вычислительной техники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321530F" wp14:editId="407C59B0">
            <wp:extent cx="1790700" cy="561975"/>
            <wp:effectExtent l="0" t="0" r="0" b="0"/>
            <wp:docPr id="12" name="Рисунок 12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планируемое к приобретению количество i-й вычислительной техники, которое определяется по средним фактическим данным за                 3 </w:t>
      </w:r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предыдущих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финансовых года;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единицы i-й вычислительной техники.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вычислительной техники, представлены в таблице № 4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мебели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оличество i-х предметов мебели;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i-</w:t>
      </w:r>
      <w:proofErr w:type="spellStart"/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предмета мебели.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мебели, представлены в таблице № 5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бытовой и вычислительной техники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(</m:t>
            </m:r>
            <w:proofErr w:type="gramStart"/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)</m:t>
        </m:r>
      </m:oMath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 тех</m:t>
                </m:r>
              </m:sub>
            </m:s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тех</m:t>
                </m:r>
              </m:sub>
            </m:sSub>
          </m:e>
        </m:nary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C1389B" w:rsidRPr="0097618A" w:rsidRDefault="00C5034F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 тех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i-й бытовой техники;</w:t>
      </w:r>
    </w:p>
    <w:p w:rsidR="00C1389B" w:rsidRPr="0097618A" w:rsidRDefault="00C5034F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тех</m:t>
            </m:r>
          </m:sub>
        </m:sSub>
      </m:oMath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1-й бытовой техники.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бытовой и вычислительной техники, представлены в таблице № 6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УВЕЛИЧЕНИЕ СТОИМОСТИ</w:t>
      </w:r>
    </w:p>
    <w:p w:rsidR="00C1389B" w:rsidRPr="0097618A" w:rsidRDefault="00C1389B" w:rsidP="00AF455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МАТЕРИАЛЬНЫХ ЗАПАСОВ</w:t>
      </w:r>
    </w:p>
    <w:p w:rsidR="00C1389B" w:rsidRPr="0097618A" w:rsidRDefault="00C1389B" w:rsidP="00C1389B">
      <w:pPr>
        <w:spacing w:after="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материальных запасов в сфере информационно-коммуникационных технологий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инф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iтехн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iв.ч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.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техн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единиц вычислительной техники для i-й должности;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.ч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.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одной единицы вычислительной техники для i-й должности. 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Общая классификация технических средств компьютерной техники: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1) 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компьютерные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мышь и клавиатура;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компьютерный  монитор;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жесткий диск, материнская плата;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4)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системный блок, блок питания;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5) внешний жесткий диск, 1Тбайт,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3.0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6) внешний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dvd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-привод,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-накопитель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удлинитель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т.д.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материальных запасов в сфере информационно-коммуникационных технологий, представлены в таблице № 7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канцелярских принадлежностей и бумаги: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бумага и бумажная продукция: бумага для заметок, бумага для офисной техники, ежедневники;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принадлежности для письма: карандаши, ручки, наборы принадлежностей для письма;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принадлежности для черчения: чертежные принадлежности (линейки, угольники), ластики, кнопки;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4) мелкое офисное оборудование и расходные материалы: дыроколы,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степлеры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скрепки, зажимы, корректор, клей;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5) папки и системы архивации: папки, скоросшиватели, картотеки, файлы-вкладыши;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6) мелкая оргтехника: калькуляторы.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канцелярских принадлежностей и бумаги, представлены в таблице № 8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5.3.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Иные затраты на увеличение стоимости материальных запасов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Зпр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,</w:t>
      </w:r>
      <w:proofErr w:type="gramEnd"/>
    </w:p>
    <w:p w:rsidR="00C1389B" w:rsidRPr="0097618A" w:rsidRDefault="00C1389B" w:rsidP="00C1389B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прочей продукции;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proofErr w:type="spellStart"/>
      <w:r w:rsidR="00AF45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цена 1 единицы прочей продукции.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увеличение стоимости материальных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запасов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9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AF455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ПРИОБРЕТЕНИЕ</w:t>
      </w:r>
    </w:p>
    <w:p w:rsidR="00C1389B" w:rsidRPr="0097618A" w:rsidRDefault="00C1389B" w:rsidP="00AF455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ПРОЧИХ РАБОТ И УСЛУГ</w:t>
      </w:r>
    </w:p>
    <w:p w:rsidR="00C1389B" w:rsidRPr="0097618A" w:rsidRDefault="00C1389B" w:rsidP="00C1389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справочно-правовых систем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=</w:t>
      </w:r>
      <m:oMath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сспс</m:t>
                </m:r>
              </m:sub>
            </m:sSub>
          </m:e>
        </m:nary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справочно-правовых систем. 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справочно-правовых систем, представлены в                 таблице № 10 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и приобретению иного программного обеспечения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сип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126055BB" wp14:editId="14C5A43A">
            <wp:extent cx="2057400" cy="590550"/>
            <wp:effectExtent l="0" t="0" r="0" b="0"/>
            <wp:docPr id="13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g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ипо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пнл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 определяется на основании предложений официальных представителей разработчика.</w:t>
      </w:r>
    </w:p>
    <w:p w:rsidR="00AF455D" w:rsidRPr="0097618A" w:rsidRDefault="00C1389B" w:rsidP="00AF45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11 приложения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F455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F455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услуг, связанных с обеспечением безопасности информации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оби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9D4386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оби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=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ат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+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,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проведение аттестационных, проверочных и контрольных мероприятий;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57062B" w:rsidRPr="0097618A" w:rsidRDefault="00C1389B" w:rsidP="005706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оплату услуг</w:t>
      </w:r>
      <w:r w:rsidR="005706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связанных с обеспечением безопасности информации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12 приложения </w:t>
      </w:r>
      <w:r w:rsidR="0057062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57062B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57062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5706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6.4.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дпо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C1389B" w:rsidRPr="0097618A" w:rsidRDefault="00C1389B" w:rsidP="00E968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цена обучения одного работника по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виду дополнительного профессионального образования. </w:t>
      </w:r>
    </w:p>
    <w:p w:rsidR="00A94CE8" w:rsidRPr="0097618A" w:rsidRDefault="00C1389B" w:rsidP="00A9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образовательных услуг по профессиональной переподготовке и повышению квалификации, представлены в таблице № 13 приложения </w:t>
      </w:r>
      <w:r w:rsidR="00A94CE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A94CE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A94CE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A9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</w:t>
      </w:r>
      <w:r w:rsidR="00122B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командирование работников</w:t>
      </w:r>
      <w:r w:rsidR="00F379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проезд к месту командирования и обратно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тру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D3A0EDF" wp14:editId="37597DFE">
            <wp:extent cx="1876425" cy="466725"/>
            <wp:effectExtent l="0" t="0" r="0" b="9525"/>
            <wp:docPr id="14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тру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 количество командированных работников по i-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тру 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средняя стоимость проезда по i-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–</w:t>
      </w:r>
      <w:proofErr w:type="gram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направление командирования.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на</w:t>
      </w:r>
      <w:r w:rsidR="00E968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9761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 жилого помещения на период командирования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F435236" wp14:editId="54B5D2C2">
            <wp:extent cx="2362200" cy="466725"/>
            <wp:effectExtent l="0" t="0" r="0" b="9525"/>
            <wp:docPr id="15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командированных работников по i-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средняя стоимость жилого помещения в сутки </w:t>
      </w:r>
      <w:r w:rsidR="00E96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i-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количество суток нахождения в командировке </w:t>
      </w:r>
      <w:r w:rsidR="00E96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i-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</w:t>
      </w:r>
      <w:proofErr w:type="gramEnd"/>
      <w:r w:rsidRPr="00976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командирования.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командирование работников, представлены в таблице № 14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E968B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C1389B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КОММУНАЛЬНЫЕ УСЛУГИ (</w:t>
      </w: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ком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</w:p>
    <w:p w:rsidR="00C1389B" w:rsidRPr="0097618A" w:rsidRDefault="00C1389B" w:rsidP="00C1389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 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tabs>
          <w:tab w:val="left" w:pos="9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газоснабжение и иные виды топлива;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электроснабжение;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теплоснабжение;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горячее водоснабжение;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холодное водоснабжение и водоотведение;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внск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лиц, привлекаемых на основании гражданско-правовых договоров. 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коммунальные услуги, представлены в таблице № 15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электроснабжение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эс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э</m:t>
                  </m:r>
                  <m: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 xml:space="preserve"> </m:t>
          </m:r>
        </m:oMath>
      </m:oMathPara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расчетная потребность электроэнергии в год по </w:t>
      </w:r>
      <w:proofErr w:type="spellStart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proofErr w:type="spellEnd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-му тарифу (цене) на электроэнергию (в рамках применяемого </w:t>
      </w:r>
      <w:proofErr w:type="spellStart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тарифа);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 </m:t>
        </m:r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i-й регулируемый тариф на электроэнергию (в рамках применяемого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тарифа).</w:t>
      </w:r>
    </w:p>
    <w:p w:rsidR="00C1389B" w:rsidRPr="0097618A" w:rsidRDefault="00C1389B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теплоснабжение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1389B" w:rsidRPr="0097618A" w:rsidRDefault="00C5034F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C1389B" w:rsidRPr="0097618A" w:rsidRDefault="00C5034F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</m:oMath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расчетная потребность в </w:t>
      </w:r>
      <w:proofErr w:type="spellStart"/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теплоэнергии</w:t>
      </w:r>
      <w:proofErr w:type="spellEnd"/>
      <w:r w:rsidR="00C1389B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на отопление зданий, помещений и сооружений;</w:t>
      </w:r>
    </w:p>
    <w:p w:rsidR="00C1389B" w:rsidRPr="0097618A" w:rsidRDefault="00C5034F" w:rsidP="00C138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тс</m:t>
            </m:r>
          </m:sub>
        </m:sSub>
      </m:oMath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1389B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регулируемый тариф на теплоснабжение.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C1389B" w:rsidRPr="0097618A" w:rsidTr="00E968B0">
        <w:tc>
          <w:tcPr>
            <w:tcW w:w="5000" w:type="pct"/>
          </w:tcPr>
          <w:p w:rsidR="00C1389B" w:rsidRPr="0097618A" w:rsidRDefault="00C1389B" w:rsidP="00FE290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7.3.</w:t>
            </w:r>
            <w:r w:rsidRPr="0097618A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Затраты на холодное водоснабжение и водоотведение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З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vertAlign w:val="subscript"/>
              </w:rPr>
              <w:t>хв</w:t>
            </w:r>
            <w:proofErr w:type="spellEnd"/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) определяются по формуле:</w:t>
            </w:r>
          </w:p>
        </w:tc>
      </w:tr>
      <w:tr w:rsidR="00C1389B" w:rsidRPr="0097618A" w:rsidTr="00E968B0">
        <w:tc>
          <w:tcPr>
            <w:tcW w:w="5000" w:type="pct"/>
          </w:tcPr>
          <w:p w:rsidR="00C1389B" w:rsidRPr="0097618A" w:rsidRDefault="00C5034F" w:rsidP="00FE29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C1389B" w:rsidRPr="0097618A" w:rsidRDefault="00C1389B" w:rsidP="00FE290A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где: </w:t>
            </w:r>
          </w:p>
          <w:p w:rsidR="00C1389B" w:rsidRPr="0097618A" w:rsidRDefault="00C5034F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холодном водоснабжении;</w:t>
            </w:r>
          </w:p>
          <w:p w:rsidR="00C1389B" w:rsidRPr="0097618A" w:rsidRDefault="00C5034F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холодное водоснабжение; </w:t>
            </w:r>
          </w:p>
          <w:p w:rsidR="00C1389B" w:rsidRPr="0097618A" w:rsidRDefault="00C5034F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водоотведении;</w:t>
            </w:r>
          </w:p>
          <w:p w:rsidR="00C1389B" w:rsidRPr="0097618A" w:rsidRDefault="00C5034F" w:rsidP="00FE290A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C1389B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водоотведение.</w:t>
            </w:r>
          </w:p>
        </w:tc>
      </w:tr>
    </w:tbl>
    <w:p w:rsidR="00C1389B" w:rsidRPr="00A706DC" w:rsidRDefault="00C1389B" w:rsidP="00C1389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1389B" w:rsidRPr="0097618A" w:rsidRDefault="00C1389B" w:rsidP="00E968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8. ГРУППА ЗАТРАТ НА ОБСЛУЖИВАНИЕ И СОДЕРЖАНИЕ МУНИЦИПАЛЬНОГО ИМУЩЕСТВА</w:t>
      </w:r>
    </w:p>
    <w:p w:rsidR="00C1389B" w:rsidRPr="00A706DC" w:rsidRDefault="00C1389B" w:rsidP="00C138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Нормативные затраты на содержание имущества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рассчитываются с учетом затрат: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электрической энергии в размере 10 % общего объема затрат на оплату указанного вида коммунальных платежей;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тепловой энергии в размере 50 %  общего объема затрат на оплату указанного вида коммунальных платежей;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уплату налогов, в качестве объекта налогообложения по которым признается недвижимое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такого имущества, в том числе земельные участки;</w:t>
      </w:r>
    </w:p>
    <w:p w:rsidR="00C1389B" w:rsidRPr="0097618A" w:rsidRDefault="00C1389B" w:rsidP="00C138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иных видов затрат. 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содержание имущества, представлены в таблице №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16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техническое обслуживание и текущий ремонт имущества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тек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C1389B" w:rsidRPr="0097618A" w:rsidRDefault="00C1389B" w:rsidP="00C1389B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услуг по техническому обслуживанию и ремонту      i-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C1389B" w:rsidRPr="0097618A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тек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технического обслуживания и регламентированного ремонта 1 оборудования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вида в год.</w:t>
      </w:r>
    </w:p>
    <w:p w:rsidR="00E968B0" w:rsidRPr="0097618A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текущий ремонт имущества, представлены в таблице № 17 приложения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E968B0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E968B0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C1389B" w:rsidRPr="00A706DC" w:rsidRDefault="00C1389B" w:rsidP="00E968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1389B" w:rsidRPr="0097618A" w:rsidRDefault="00C1389B" w:rsidP="00E968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9. ЗАТРАТЫ НА ИНФОРМАЦИОННОЕ ОБЕСПЕЧЕНИЕ ДЕЯТЕЛЬНОСТИ</w:t>
      </w:r>
    </w:p>
    <w:p w:rsidR="00C1389B" w:rsidRPr="0097618A" w:rsidRDefault="00C1389B" w:rsidP="00C138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30F58" w:rsidRDefault="00C1389B" w:rsidP="00C13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приобретение периодических печатных изданий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</w:t>
      </w:r>
    </w:p>
    <w:p w:rsidR="00C1389B" w:rsidRPr="0097618A" w:rsidRDefault="00C1389B" w:rsidP="00D30F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ж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×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приобретаемых i-х периодических изданий;</w:t>
      </w:r>
    </w:p>
    <w:p w:rsidR="00C1389B" w:rsidRPr="0097618A" w:rsidRDefault="00C1389B" w:rsidP="00C1389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eastAsia="ru-RU"/>
        </w:rPr>
        <w:t>ж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периодического издания.</w:t>
      </w:r>
      <w:proofErr w:type="gramEnd"/>
    </w:p>
    <w:p w:rsidR="00D30F58" w:rsidRDefault="00C1389B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</w:t>
      </w:r>
      <w:r w:rsidR="00D30F5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информационное обеспечение деятельности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18 приложения </w:t>
      </w:r>
      <w:r w:rsidR="00D30F5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D30F5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D30F5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30F58" w:rsidRDefault="00D30F58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706DC" w:rsidRPr="0097618A" w:rsidRDefault="00A706DC" w:rsidP="00D30F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84A2B" w:rsidRDefault="00484A2B" w:rsidP="00AA15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484A2B" w:rsidRDefault="00484A2B" w:rsidP="00D30F58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737E55" w:rsidRDefault="00737E55"/>
    <w:sectPr w:rsidR="00737E55" w:rsidSect="00A706DC">
      <w:headerReference w:type="default" r:id="rId15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73" w:rsidRDefault="007F4E73" w:rsidP="00A706DC">
      <w:pPr>
        <w:spacing w:after="0" w:line="240" w:lineRule="auto"/>
      </w:pPr>
      <w:r>
        <w:separator/>
      </w:r>
    </w:p>
  </w:endnote>
  <w:endnote w:type="continuationSeparator" w:id="0">
    <w:p w:rsidR="007F4E73" w:rsidRDefault="007F4E73" w:rsidP="00A7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73" w:rsidRDefault="007F4E73" w:rsidP="00A706DC">
      <w:pPr>
        <w:spacing w:after="0" w:line="240" w:lineRule="auto"/>
      </w:pPr>
      <w:r>
        <w:separator/>
      </w:r>
    </w:p>
  </w:footnote>
  <w:footnote w:type="continuationSeparator" w:id="0">
    <w:p w:rsidR="007F4E73" w:rsidRDefault="007F4E73" w:rsidP="00A7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933235"/>
      <w:docPartObj>
        <w:docPartGallery w:val="Page Numbers (Top of Page)"/>
        <w:docPartUnique/>
      </w:docPartObj>
    </w:sdtPr>
    <w:sdtEndPr/>
    <w:sdtContent>
      <w:p w:rsidR="00A706DC" w:rsidRDefault="00A706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4F">
          <w:rPr>
            <w:noProof/>
          </w:rPr>
          <w:t>13</w:t>
        </w:r>
        <w:r>
          <w:fldChar w:fldCharType="end"/>
        </w:r>
      </w:p>
    </w:sdtContent>
  </w:sdt>
  <w:p w:rsidR="00A706DC" w:rsidRDefault="00A706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A2"/>
    <w:rsid w:val="00122B40"/>
    <w:rsid w:val="00484A2B"/>
    <w:rsid w:val="004C0996"/>
    <w:rsid w:val="0057062B"/>
    <w:rsid w:val="00737E55"/>
    <w:rsid w:val="007F4E73"/>
    <w:rsid w:val="00876D73"/>
    <w:rsid w:val="009B1CD2"/>
    <w:rsid w:val="009D4386"/>
    <w:rsid w:val="009D66A3"/>
    <w:rsid w:val="00A706DC"/>
    <w:rsid w:val="00A94CE8"/>
    <w:rsid w:val="00AA15FD"/>
    <w:rsid w:val="00AF455D"/>
    <w:rsid w:val="00B245B1"/>
    <w:rsid w:val="00C1389B"/>
    <w:rsid w:val="00C5034F"/>
    <w:rsid w:val="00C763D2"/>
    <w:rsid w:val="00C968A2"/>
    <w:rsid w:val="00D30F58"/>
    <w:rsid w:val="00E968B0"/>
    <w:rsid w:val="00F379D5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89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6DC"/>
  </w:style>
  <w:style w:type="paragraph" w:styleId="a7">
    <w:name w:val="footer"/>
    <w:basedOn w:val="a"/>
    <w:link w:val="a8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89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8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6DC"/>
  </w:style>
  <w:style w:type="paragraph" w:styleId="a7">
    <w:name w:val="footer"/>
    <w:basedOn w:val="a"/>
    <w:link w:val="a8"/>
    <w:uiPriority w:val="99"/>
    <w:unhideWhenUsed/>
    <w:rsid w:val="00A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enshulgina</cp:lastModifiedBy>
  <cp:revision>2</cp:revision>
  <cp:lastPrinted>2020-09-01T06:29:00Z</cp:lastPrinted>
  <dcterms:created xsi:type="dcterms:W3CDTF">2020-09-16T13:11:00Z</dcterms:created>
  <dcterms:modified xsi:type="dcterms:W3CDTF">2020-09-16T13:11:00Z</dcterms:modified>
</cp:coreProperties>
</file>