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F7021F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3C92" w:rsidRPr="00740C2F" w:rsidRDefault="003C1A45" w:rsidP="00E33C92">
      <w:pPr>
        <w:jc w:val="both"/>
        <w:rPr>
          <w:sz w:val="25"/>
          <w:szCs w:val="25"/>
        </w:rPr>
      </w:pPr>
      <w:r w:rsidRPr="001D0E0A">
        <w:rPr>
          <w:sz w:val="28"/>
          <w:szCs w:val="28"/>
        </w:rPr>
        <w:tab/>
      </w:r>
      <w:r w:rsidR="00D05F90" w:rsidRPr="00740C2F">
        <w:rPr>
          <w:sz w:val="25"/>
          <w:szCs w:val="25"/>
        </w:rPr>
        <w:t xml:space="preserve">Постановление администрации городского округа город Воронеж </w:t>
      </w:r>
      <w:r w:rsidR="00A920A4" w:rsidRPr="00740C2F">
        <w:rPr>
          <w:bCs/>
          <w:sz w:val="25"/>
          <w:szCs w:val="25"/>
        </w:rPr>
        <w:t xml:space="preserve">по </w:t>
      </w:r>
      <w:r w:rsidR="00A800ED" w:rsidRPr="00740C2F">
        <w:rPr>
          <w:rFonts w:eastAsiaTheme="minorHAnsi"/>
          <w:sz w:val="25"/>
          <w:szCs w:val="25"/>
        </w:rPr>
        <w:t xml:space="preserve"> </w:t>
      </w:r>
      <w:r w:rsidR="00A5060B" w:rsidRPr="00740C2F">
        <w:rPr>
          <w:bCs/>
          <w:sz w:val="25"/>
          <w:szCs w:val="25"/>
          <w:shd w:val="clear" w:color="auto" w:fill="FFFFFF"/>
        </w:rPr>
        <w:t xml:space="preserve">проекту </w:t>
      </w:r>
      <w:r w:rsidR="007C09B1" w:rsidRPr="00740C2F">
        <w:rPr>
          <w:bCs/>
          <w:sz w:val="25"/>
          <w:szCs w:val="25"/>
          <w:shd w:val="clear" w:color="auto" w:fill="FFFFFF"/>
        </w:rPr>
        <w:t>решения о предоставлении </w:t>
      </w:r>
      <w:proofErr w:type="spellStart"/>
      <w:r w:rsidR="00E33C92" w:rsidRPr="00740C2F">
        <w:rPr>
          <w:color w:val="000000"/>
          <w:sz w:val="25"/>
          <w:szCs w:val="25"/>
          <w:shd w:val="clear" w:color="auto" w:fill="FFFFFF"/>
        </w:rPr>
        <w:t>Толстолуцкой</w:t>
      </w:r>
      <w:proofErr w:type="spellEnd"/>
      <w:r w:rsidR="00E33C92" w:rsidRPr="00740C2F">
        <w:rPr>
          <w:color w:val="000000"/>
          <w:sz w:val="25"/>
          <w:szCs w:val="25"/>
          <w:shd w:val="clear" w:color="auto" w:fill="FFFFFF"/>
        </w:rPr>
        <w:t xml:space="preserve"> Марине Владимировне, </w:t>
      </w:r>
      <w:proofErr w:type="spellStart"/>
      <w:r w:rsidR="00E33C92" w:rsidRPr="00740C2F">
        <w:rPr>
          <w:color w:val="000000"/>
          <w:sz w:val="25"/>
          <w:szCs w:val="25"/>
          <w:shd w:val="clear" w:color="auto" w:fill="FFFFFF"/>
        </w:rPr>
        <w:t>Толстолуцкому</w:t>
      </w:r>
      <w:proofErr w:type="spellEnd"/>
      <w:r w:rsidR="00E33C92" w:rsidRPr="00740C2F">
        <w:rPr>
          <w:color w:val="000000"/>
          <w:sz w:val="25"/>
          <w:szCs w:val="25"/>
          <w:shd w:val="clear" w:color="auto" w:fill="FFFFFF"/>
        </w:rPr>
        <w:t xml:space="preserve"> Роману Владимировичу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Чернышевский Бугор, 16б (кадастровый номер</w:t>
      </w:r>
      <w:r w:rsidR="00E33C92" w:rsidRPr="00740C2F">
        <w:rPr>
          <w:color w:val="000000"/>
          <w:sz w:val="25"/>
          <w:szCs w:val="25"/>
          <w:u w:val="single"/>
          <w:shd w:val="clear" w:color="auto" w:fill="FFFFFF"/>
        </w:rPr>
        <w:t xml:space="preserve"> 36:34:0402020:377)</w:t>
      </w:r>
      <w:r w:rsidR="00E33C92" w:rsidRPr="00740C2F">
        <w:rPr>
          <w:color w:val="000000"/>
          <w:sz w:val="25"/>
          <w:szCs w:val="25"/>
          <w:shd w:val="clear" w:color="auto" w:fill="FFFFFF"/>
        </w:rPr>
        <w:t>_______________________________</w:t>
      </w:r>
      <w:r w:rsidR="00740C2F">
        <w:rPr>
          <w:color w:val="000000"/>
          <w:sz w:val="25"/>
          <w:szCs w:val="25"/>
          <w:shd w:val="clear" w:color="auto" w:fill="FFFFFF"/>
        </w:rPr>
        <w:t>____________________</w:t>
      </w:r>
    </w:p>
    <w:p w:rsidR="002F0BD7" w:rsidRPr="00740C2F" w:rsidRDefault="003C1A45" w:rsidP="002F0BD7">
      <w:pPr>
        <w:jc w:val="both"/>
        <w:rPr>
          <w:i/>
          <w:sz w:val="16"/>
          <w:szCs w:val="16"/>
        </w:rPr>
      </w:pPr>
      <w:r w:rsidRPr="00740C2F">
        <w:rPr>
          <w:i/>
          <w:sz w:val="16"/>
          <w:szCs w:val="16"/>
        </w:rPr>
        <w:t xml:space="preserve"> </w:t>
      </w:r>
      <w:r w:rsidR="0062750B" w:rsidRPr="00740C2F">
        <w:rPr>
          <w:i/>
          <w:sz w:val="16"/>
          <w:szCs w:val="16"/>
        </w:rPr>
        <w:t xml:space="preserve">                      </w:t>
      </w:r>
      <w:r w:rsidR="00740C2F">
        <w:rPr>
          <w:i/>
          <w:sz w:val="16"/>
          <w:szCs w:val="16"/>
        </w:rPr>
        <w:t xml:space="preserve">                      </w:t>
      </w:r>
      <w:r w:rsidR="0062750B" w:rsidRPr="00740C2F">
        <w:rPr>
          <w:i/>
          <w:sz w:val="16"/>
          <w:szCs w:val="16"/>
        </w:rPr>
        <w:t xml:space="preserve">     (наименование проекта муниципального правового акта)</w:t>
      </w:r>
    </w:p>
    <w:p w:rsidR="00D5503A" w:rsidRPr="00740C2F" w:rsidRDefault="00D5503A" w:rsidP="002F0BD7">
      <w:pPr>
        <w:jc w:val="both"/>
        <w:rPr>
          <w:i/>
          <w:sz w:val="16"/>
          <w:szCs w:val="16"/>
        </w:rPr>
      </w:pPr>
    </w:p>
    <w:p w:rsidR="00827FE5" w:rsidRPr="00740C2F" w:rsidRDefault="003C1A45" w:rsidP="00403E8D">
      <w:pPr>
        <w:jc w:val="both"/>
        <w:rPr>
          <w:i/>
          <w:sz w:val="25"/>
          <w:szCs w:val="25"/>
        </w:rPr>
      </w:pPr>
      <w:r w:rsidRPr="00740C2F">
        <w:rPr>
          <w:sz w:val="25"/>
          <w:szCs w:val="25"/>
        </w:rPr>
        <w:tab/>
        <w:t xml:space="preserve">Постановление главы городского округа город Воронеж от </w:t>
      </w:r>
      <w:r w:rsidR="007C09B1" w:rsidRPr="00740C2F">
        <w:rPr>
          <w:sz w:val="25"/>
          <w:szCs w:val="25"/>
        </w:rPr>
        <w:t>22</w:t>
      </w:r>
      <w:r w:rsidR="0079428F" w:rsidRPr="00740C2F">
        <w:rPr>
          <w:sz w:val="25"/>
          <w:szCs w:val="25"/>
        </w:rPr>
        <w:t>.0</w:t>
      </w:r>
      <w:r w:rsidR="00F26DC5" w:rsidRPr="00740C2F">
        <w:rPr>
          <w:sz w:val="25"/>
          <w:szCs w:val="25"/>
        </w:rPr>
        <w:t>9</w:t>
      </w:r>
      <w:r w:rsidR="003E2C3F" w:rsidRPr="00740C2F">
        <w:rPr>
          <w:color w:val="000000"/>
          <w:sz w:val="25"/>
          <w:szCs w:val="25"/>
        </w:rPr>
        <w:t>.</w:t>
      </w:r>
      <w:r w:rsidR="003459CF" w:rsidRPr="00740C2F">
        <w:rPr>
          <w:color w:val="000000"/>
          <w:sz w:val="25"/>
          <w:szCs w:val="25"/>
        </w:rPr>
        <w:t>20</w:t>
      </w:r>
      <w:r w:rsidR="00D71F9D" w:rsidRPr="00740C2F">
        <w:rPr>
          <w:color w:val="000000"/>
          <w:sz w:val="25"/>
          <w:szCs w:val="25"/>
        </w:rPr>
        <w:t>2</w:t>
      </w:r>
      <w:r w:rsidR="0062750B" w:rsidRPr="00740C2F">
        <w:rPr>
          <w:color w:val="000000"/>
          <w:sz w:val="25"/>
          <w:szCs w:val="25"/>
        </w:rPr>
        <w:t xml:space="preserve">2 </w:t>
      </w:r>
      <w:r w:rsidR="00740C2F">
        <w:rPr>
          <w:color w:val="000000"/>
          <w:sz w:val="25"/>
          <w:szCs w:val="25"/>
        </w:rPr>
        <w:t xml:space="preserve"> </w:t>
      </w:r>
      <w:r w:rsidR="003459CF" w:rsidRPr="00740C2F">
        <w:rPr>
          <w:color w:val="000000"/>
          <w:sz w:val="25"/>
          <w:szCs w:val="25"/>
        </w:rPr>
        <w:t xml:space="preserve">№ </w:t>
      </w:r>
      <w:r w:rsidR="00D3619F" w:rsidRPr="00740C2F">
        <w:rPr>
          <w:color w:val="000000"/>
          <w:sz w:val="25"/>
          <w:szCs w:val="25"/>
        </w:rPr>
        <w:t>1</w:t>
      </w:r>
      <w:r w:rsidR="00E33C92" w:rsidRPr="00740C2F">
        <w:rPr>
          <w:color w:val="000000"/>
          <w:sz w:val="25"/>
          <w:szCs w:val="25"/>
        </w:rPr>
        <w:t>50</w:t>
      </w:r>
      <w:r w:rsidR="003459CF" w:rsidRPr="00740C2F">
        <w:rPr>
          <w:sz w:val="25"/>
          <w:szCs w:val="25"/>
        </w:rPr>
        <w:t xml:space="preserve"> </w:t>
      </w:r>
      <w:r w:rsidRPr="00740C2F">
        <w:rPr>
          <w:sz w:val="25"/>
          <w:szCs w:val="25"/>
        </w:rPr>
        <w:t>«</w:t>
      </w:r>
      <w:r w:rsidR="007C09B1" w:rsidRPr="00740C2F">
        <w:rPr>
          <w:bCs/>
          <w:sz w:val="25"/>
          <w:szCs w:val="25"/>
          <w:shd w:val="clear" w:color="auto" w:fill="FFFFFF"/>
        </w:rPr>
        <w:t>О назначении общественных обсуждений по проекту решения о предоставлении </w:t>
      </w:r>
      <w:proofErr w:type="spellStart"/>
      <w:r w:rsidR="00E33C92" w:rsidRPr="00740C2F">
        <w:rPr>
          <w:color w:val="000000"/>
          <w:sz w:val="25"/>
          <w:szCs w:val="25"/>
          <w:shd w:val="clear" w:color="auto" w:fill="FFFFFF"/>
        </w:rPr>
        <w:t>Толстолуцкой</w:t>
      </w:r>
      <w:proofErr w:type="spellEnd"/>
      <w:r w:rsidR="00E33C92" w:rsidRPr="00740C2F">
        <w:rPr>
          <w:color w:val="000000"/>
          <w:sz w:val="25"/>
          <w:szCs w:val="25"/>
          <w:shd w:val="clear" w:color="auto" w:fill="FFFFFF"/>
        </w:rPr>
        <w:t xml:space="preserve"> Марине Владимировне, </w:t>
      </w:r>
      <w:proofErr w:type="spellStart"/>
      <w:r w:rsidR="00E33C92" w:rsidRPr="00740C2F">
        <w:rPr>
          <w:color w:val="000000"/>
          <w:sz w:val="25"/>
          <w:szCs w:val="25"/>
          <w:shd w:val="clear" w:color="auto" w:fill="FFFFFF"/>
        </w:rPr>
        <w:t>Толстолуцкому</w:t>
      </w:r>
      <w:proofErr w:type="spellEnd"/>
      <w:r w:rsidR="00E33C92" w:rsidRPr="00740C2F">
        <w:rPr>
          <w:color w:val="000000"/>
          <w:sz w:val="25"/>
          <w:szCs w:val="25"/>
          <w:shd w:val="clear" w:color="auto" w:fill="FFFFFF"/>
        </w:rPr>
        <w:t xml:space="preserve"> Роману Владимировичу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Чернышевский Бугор, 16б </w:t>
      </w:r>
      <w:r w:rsidR="00E33C92" w:rsidRPr="00740C2F">
        <w:rPr>
          <w:color w:val="000000"/>
          <w:sz w:val="25"/>
          <w:szCs w:val="25"/>
          <w:u w:val="single"/>
          <w:shd w:val="clear" w:color="auto" w:fill="FFFFFF"/>
        </w:rPr>
        <w:t>(</w:t>
      </w:r>
      <w:r w:rsidR="00E33C92" w:rsidRPr="00740C2F">
        <w:rPr>
          <w:color w:val="000000"/>
          <w:sz w:val="25"/>
          <w:szCs w:val="25"/>
          <w:shd w:val="clear" w:color="auto" w:fill="FFFFFF"/>
        </w:rPr>
        <w:t>кадастровый номер</w:t>
      </w:r>
      <w:r w:rsidR="00E33C92" w:rsidRPr="00740C2F">
        <w:rPr>
          <w:color w:val="000000"/>
          <w:sz w:val="25"/>
          <w:szCs w:val="25"/>
          <w:u w:val="single"/>
          <w:shd w:val="clear" w:color="auto" w:fill="FFFFFF"/>
        </w:rPr>
        <w:t xml:space="preserve"> 36:34:0402020:377</w:t>
      </w:r>
      <w:r w:rsidR="00E33C92" w:rsidRPr="00740C2F">
        <w:rPr>
          <w:color w:val="000000"/>
          <w:sz w:val="25"/>
          <w:szCs w:val="25"/>
          <w:shd w:val="clear" w:color="auto" w:fill="FFFFFF"/>
        </w:rPr>
        <w:t>)</w:t>
      </w:r>
      <w:r w:rsidR="00C226D9" w:rsidRPr="00740C2F">
        <w:rPr>
          <w:bCs/>
          <w:sz w:val="25"/>
          <w:szCs w:val="25"/>
          <w:u w:val="single"/>
        </w:rPr>
        <w:t>»</w:t>
      </w:r>
      <w:r w:rsidR="00F24691" w:rsidRPr="00740C2F">
        <w:rPr>
          <w:bCs/>
          <w:sz w:val="25"/>
          <w:szCs w:val="25"/>
        </w:rPr>
        <w:t>_________________</w:t>
      </w:r>
      <w:r w:rsidR="00C953CF" w:rsidRPr="00740C2F">
        <w:rPr>
          <w:bCs/>
          <w:sz w:val="25"/>
          <w:szCs w:val="25"/>
        </w:rPr>
        <w:t>____</w:t>
      </w:r>
      <w:r w:rsidR="00E33C92" w:rsidRPr="00740C2F">
        <w:rPr>
          <w:bCs/>
          <w:sz w:val="25"/>
          <w:szCs w:val="25"/>
        </w:rPr>
        <w:t>_____________</w:t>
      </w:r>
      <w:r w:rsidR="00740C2F">
        <w:rPr>
          <w:i/>
          <w:sz w:val="25"/>
          <w:szCs w:val="25"/>
        </w:rPr>
        <w:t>__________________</w:t>
      </w:r>
    </w:p>
    <w:p w:rsidR="00026A1E" w:rsidRPr="00740C2F" w:rsidRDefault="00827FE5" w:rsidP="004F5E3B">
      <w:pPr>
        <w:spacing w:after="240"/>
        <w:jc w:val="both"/>
        <w:rPr>
          <w:bCs/>
          <w:sz w:val="16"/>
          <w:szCs w:val="16"/>
          <w:u w:val="single"/>
        </w:rPr>
      </w:pPr>
      <w:r w:rsidRPr="00740C2F">
        <w:rPr>
          <w:i/>
          <w:sz w:val="16"/>
          <w:szCs w:val="16"/>
        </w:rPr>
        <w:t xml:space="preserve">       </w:t>
      </w:r>
      <w:r w:rsidR="00740C2F">
        <w:rPr>
          <w:i/>
          <w:sz w:val="16"/>
          <w:szCs w:val="16"/>
        </w:rPr>
        <w:t xml:space="preserve">                                                     </w:t>
      </w:r>
      <w:r w:rsidRPr="00740C2F">
        <w:rPr>
          <w:i/>
          <w:sz w:val="16"/>
          <w:szCs w:val="16"/>
        </w:rPr>
        <w:t xml:space="preserve">   </w:t>
      </w:r>
      <w:r w:rsidR="003C1A45" w:rsidRPr="00740C2F">
        <w:rPr>
          <w:i/>
          <w:sz w:val="16"/>
          <w:szCs w:val="16"/>
        </w:rPr>
        <w:t>(основание для проведения публичных слушаний)</w:t>
      </w:r>
      <w:r w:rsidR="003C1A45" w:rsidRPr="00740C2F">
        <w:rPr>
          <w:sz w:val="16"/>
          <w:szCs w:val="16"/>
        </w:rPr>
        <w:t xml:space="preserve"> </w:t>
      </w:r>
      <w:r w:rsidR="003C1A45" w:rsidRPr="00740C2F">
        <w:rPr>
          <w:sz w:val="16"/>
          <w:szCs w:val="16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A84BED">
        <w:rPr>
          <w:rFonts w:ascii="Times New Roman" w:hAnsi="Times New Roman" w:cs="Times New Roman"/>
          <w:sz w:val="26"/>
          <w:szCs w:val="26"/>
        </w:rPr>
        <w:t>17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740C2F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F7021F" w:rsidRDefault="00F7021F" w:rsidP="00D5503A">
      <w:pPr>
        <w:contextualSpacing/>
        <w:jc w:val="both"/>
        <w:rPr>
          <w:sz w:val="26"/>
          <w:szCs w:val="2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740C2F" w:rsidRDefault="00740C2F" w:rsidP="00D5503A">
      <w:pPr>
        <w:contextualSpacing/>
        <w:jc w:val="both"/>
        <w:rPr>
          <w:sz w:val="26"/>
          <w:szCs w:val="26"/>
        </w:rPr>
      </w:pPr>
    </w:p>
    <w:p w:rsidR="00740C2F" w:rsidRDefault="00740C2F" w:rsidP="00D5503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</w:t>
      </w:r>
    </w:p>
    <w:p w:rsidR="00740C2F" w:rsidRDefault="00740C2F" w:rsidP="00D5503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землепользованию и застройке </w:t>
      </w:r>
    </w:p>
    <w:p w:rsidR="00740C2F" w:rsidRDefault="00740C2F" w:rsidP="00D5503A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Я.А. Агаркова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740C2F">
        <w:rPr>
          <w:sz w:val="26"/>
          <w:szCs w:val="26"/>
        </w:rPr>
        <w:t xml:space="preserve">        </w:t>
      </w:r>
      <w:bookmarkStart w:id="0" w:name="_GoBack"/>
      <w:bookmarkEnd w:id="0"/>
      <w:r w:rsidRPr="002F0BD7">
        <w:rPr>
          <w:sz w:val="26"/>
          <w:szCs w:val="26"/>
        </w:rPr>
        <w:t>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05" w:rsidRDefault="00273505" w:rsidP="00067BAF">
      <w:r>
        <w:separator/>
      </w:r>
    </w:p>
  </w:endnote>
  <w:endnote w:type="continuationSeparator" w:id="0">
    <w:p w:rsidR="00273505" w:rsidRDefault="0027350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05" w:rsidRDefault="00273505" w:rsidP="00067BAF">
      <w:r>
        <w:separator/>
      </w:r>
    </w:p>
  </w:footnote>
  <w:footnote w:type="continuationSeparator" w:id="0">
    <w:p w:rsidR="00273505" w:rsidRDefault="0027350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3505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312A4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40C2F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C09B1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060B"/>
    <w:rsid w:val="00A57B6B"/>
    <w:rsid w:val="00A60D1D"/>
    <w:rsid w:val="00A64FA2"/>
    <w:rsid w:val="00A800ED"/>
    <w:rsid w:val="00A8264B"/>
    <w:rsid w:val="00A82D40"/>
    <w:rsid w:val="00A83115"/>
    <w:rsid w:val="00A84BED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33C92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21F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2022-08-10T10:02:00Z</cp:lastPrinted>
  <dcterms:created xsi:type="dcterms:W3CDTF">2022-09-27T14:55:00Z</dcterms:created>
  <dcterms:modified xsi:type="dcterms:W3CDTF">2022-10-20T10:57:00Z</dcterms:modified>
</cp:coreProperties>
</file>